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BANKFREIGABE</w:t>
      </w:r>
    </w:p>
    <w:p>
      <w:pPr>
        <w:spacing w:after="40"/>
      </w:pPr>
      <w:r>
        <w:rPr>
          <w:rFonts w:ascii="Arial" w:hAnsi="Arial"/>
          <w:b/>
          <w:sz w:val="25"/>
        </w:rPr>
        <w:t>Mainfranken Bank AG</w:t>
      </w:r>
    </w:p>
    <w:p>
      <w:pPr>
        <w:spacing w:after="200"/>
      </w:pPr>
      <w:r>
        <w:rPr>
          <w:rFonts w:ascii="Arial" w:hAnsi="Arial"/>
          <w:color w:val="586069"/>
          <w:sz w:val="17"/>
        </w:rPr>
        <w:t>Firmenkunden Restrukturierung | Marktplatz 11 | 97070 Würzburg</w:t>
      </w:r>
    </w:p>
    <w:p>
      <w:pPr>
        <w:spacing w:after="160"/>
      </w:pPr>
      <w:r>
        <w:t>Baumann Präzision GmbH und Dr. Fedor Lehnert</w:t>
      </w:r>
    </w:p>
    <w:p>
      <w:pPr>
        <w:spacing w:after="80"/>
      </w:pPr>
      <w:r>
        <w:rPr>
          <w:rFonts w:ascii="Arial" w:hAnsi="Arial"/>
          <w:color w:val="586069"/>
          <w:sz w:val="18"/>
        </w:rPr>
        <w:t>Datum: 16.06.2026  |  Zeichen: MF-44719 / Waiver 1</w:t>
      </w:r>
    </w:p>
    <w:p>
      <w:pPr>
        <w:pStyle w:val="Title"/>
      </w:pPr>
      <w:r>
        <w:t>Befristete Zustimmung zur Investitionsfinanzierung</w:t>
      </w:r>
    </w:p>
    <w:p>
      <w:pPr>
        <w:jc w:val="both"/>
      </w:pPr>
      <w:r>
        <w:t>Nach Prüfung der bis 12. Juni vorgelegten Unterlagen stimmt die Bank der ersten Auszahlung aus dem Investitionsdarlehen bis zu 1.200.000 Euro zu. Die Zustimmung ist auf diesen Abruf begrenzt und mit den nachstehenden Bedingungen verbunden.</w:t>
      </w:r>
    </w:p>
    <w:p>
      <w:pPr>
        <w:pStyle w:val="Heading1"/>
      </w:pPr>
      <w:r>
        <w:t>1. Nachweise</w:t>
      </w:r>
    </w:p>
    <w:p>
      <w:pPr>
        <w:jc w:val="both"/>
      </w:pPr>
      <w:r>
        <w:t>Vor Auszahlung sind die aktuelle Gesellschafterliste, das Testamentsvollstreckerzeugnis und der protokollierte Gesellschafterbeschluss vom 18. Mai vorzulegen. Geschäftsführung und Testamentsvollstrecker bestätigen jeweils innerhalb ihrer Zuständigkeit, dass der Abruf dem genehmigten Investitionsplan entspricht.</w:t>
      </w:r>
    </w:p>
    <w:p>
      <w:pPr>
        <w:pStyle w:val="Heading1"/>
      </w:pPr>
      <w:r>
        <w:t>2. Finanzkennzahlen</w:t>
      </w:r>
    </w:p>
    <w:tbl>
      <w:tblPr>
        <w:tblStyle w:val="TableGrid"/>
        <w:tblW w:type="dxa" w:w="9600"/>
        <w:tblLayout w:type="fixed"/>
        <w:tblLook w:firstColumn="1" w:firstRow="1" w:lastColumn="0" w:lastRow="0" w:noHBand="0" w:noVBand="1" w:val="04A0"/>
        <w:tblInd w:w="120" w:type="dxa"/>
      </w:tblPr>
      <w:tblGrid>
        <w:gridCol w:w="3300"/>
        <w:gridCol w:w="3000"/>
        <w:gridCol w:w="3300"/>
      </w:tblGrid>
      <w:tr>
        <w:trPr>
          <w:tblHeader w:val="true"/>
        </w:trPr>
        <w:tc>
          <w:tcPr>
            <w:tcW w:type="dxa" w:w="3300"/>
            <w:vAlign w:val="center"/>
            <w:shd w:fill="DCE6F1"/>
            <w:tcMar>
              <w:top w:w="90" w:type="dxa"/>
              <w:start w:w="120" w:type="dxa"/>
              <w:bottom w:w="90" w:type="dxa"/>
              <w:end w:w="120" w:type="dxa"/>
            </w:tcMar>
          </w:tcPr>
          <w:p>
            <w:pPr>
              <w:spacing w:after="0"/>
            </w:pPr>
            <w:r>
              <w:rPr>
                <w:rFonts w:ascii="Arial" w:hAnsi="Arial"/>
                <w:b/>
                <w:sz w:val="18"/>
              </w:rPr>
              <w:t>Kennzahl</w:t>
            </w:r>
          </w:p>
        </w:tc>
        <w:tc>
          <w:tcPr>
            <w:tcW w:type="dxa" w:w="3000"/>
            <w:vAlign w:val="center"/>
            <w:shd w:fill="DCE6F1"/>
            <w:tcMar>
              <w:top w:w="90" w:type="dxa"/>
              <w:start w:w="120" w:type="dxa"/>
              <w:bottom w:w="90" w:type="dxa"/>
              <w:end w:w="120" w:type="dxa"/>
            </w:tcMar>
          </w:tcPr>
          <w:p>
            <w:pPr>
              <w:spacing w:after="0"/>
            </w:pPr>
            <w:r>
              <w:rPr>
                <w:rFonts w:ascii="Arial" w:hAnsi="Arial"/>
                <w:b/>
                <w:sz w:val="18"/>
              </w:rPr>
              <w:t>Schwelle</w:t>
            </w:r>
          </w:p>
        </w:tc>
        <w:tc>
          <w:tcPr>
            <w:tcW w:type="dxa" w:w="3300"/>
            <w:vAlign w:val="center"/>
            <w:shd w:fill="DCE6F1"/>
            <w:tcMar>
              <w:top w:w="90" w:type="dxa"/>
              <w:start w:w="120" w:type="dxa"/>
              <w:bottom w:w="90" w:type="dxa"/>
              <w:end w:w="120" w:type="dxa"/>
            </w:tcMar>
          </w:tcPr>
          <w:p>
            <w:pPr>
              <w:spacing w:after="0"/>
            </w:pPr>
            <w:r>
              <w:rPr>
                <w:rFonts w:ascii="Arial" w:hAnsi="Arial"/>
                <w:b/>
                <w:sz w:val="18"/>
              </w:rPr>
              <w:t>Berichtszeitpunkt</w:t>
            </w:r>
          </w:p>
        </w:tc>
      </w:tr>
      <w:tr>
        <w:tc>
          <w:tcPr>
            <w:tcW w:type="dxa" w:w="3300"/>
            <w:vAlign w:val="center"/>
            <w:tcMar>
              <w:top w:w="90" w:type="dxa"/>
              <w:start w:w="120" w:type="dxa"/>
              <w:bottom w:w="90" w:type="dxa"/>
              <w:end w:w="120" w:type="dxa"/>
            </w:tcMar>
          </w:tcPr>
          <w:p>
            <w:pPr>
              <w:spacing w:after="0" w:line="259" w:lineRule="auto"/>
            </w:pPr>
            <w:r>
              <w:rPr>
                <w:rFonts w:ascii="Arial" w:hAnsi="Arial"/>
                <w:sz w:val="17"/>
              </w:rPr>
              <w:t>Liquiditätsreserve</w:t>
            </w:r>
          </w:p>
        </w:tc>
        <w:tc>
          <w:tcPr>
            <w:tcW w:type="dxa" w:w="3000"/>
            <w:vAlign w:val="center"/>
            <w:tcMar>
              <w:top w:w="90" w:type="dxa"/>
              <w:start w:w="120" w:type="dxa"/>
              <w:bottom w:w="90" w:type="dxa"/>
              <w:end w:w="120" w:type="dxa"/>
            </w:tcMar>
          </w:tcPr>
          <w:p>
            <w:pPr>
              <w:spacing w:after="0" w:line="259" w:lineRule="auto"/>
            </w:pPr>
            <w:r>
              <w:rPr>
                <w:rFonts w:ascii="Arial" w:hAnsi="Arial"/>
                <w:sz w:val="17"/>
              </w:rPr>
              <w:t>mindestens 1.500.000 EUR</w:t>
            </w:r>
          </w:p>
        </w:tc>
        <w:tc>
          <w:tcPr>
            <w:tcW w:type="dxa" w:w="3300"/>
            <w:vAlign w:val="center"/>
            <w:tcMar>
              <w:top w:w="90" w:type="dxa"/>
              <w:start w:w="120" w:type="dxa"/>
              <w:bottom w:w="90" w:type="dxa"/>
              <w:end w:w="120" w:type="dxa"/>
            </w:tcMar>
          </w:tcPr>
          <w:p>
            <w:pPr>
              <w:spacing w:after="0" w:line="259" w:lineRule="auto"/>
            </w:pPr>
            <w:r>
              <w:rPr>
                <w:rFonts w:ascii="Arial" w:hAnsi="Arial"/>
                <w:sz w:val="17"/>
              </w:rPr>
              <w:t>wöchentlich bis 30.09.2026</w:t>
            </w:r>
          </w:p>
        </w:tc>
      </w:tr>
      <w:tr>
        <w:tc>
          <w:tcPr>
            <w:tcW w:type="dxa" w:w="3300"/>
            <w:vAlign w:val="center"/>
            <w:shd w:fill="F2F4F7"/>
            <w:tcMar>
              <w:top w:w="90" w:type="dxa"/>
              <w:start w:w="120" w:type="dxa"/>
              <w:bottom w:w="90" w:type="dxa"/>
              <w:end w:w="120" w:type="dxa"/>
            </w:tcMar>
          </w:tcPr>
          <w:p>
            <w:pPr>
              <w:spacing w:after="0" w:line="259" w:lineRule="auto"/>
            </w:pPr>
            <w:r>
              <w:rPr>
                <w:rFonts w:ascii="Arial" w:hAnsi="Arial"/>
                <w:sz w:val="17"/>
              </w:rPr>
              <w:t>Nettofinanzverschuldung / EBITDA</w:t>
            </w:r>
          </w:p>
        </w:tc>
        <w:tc>
          <w:tcPr>
            <w:tcW w:type="dxa" w:w="3000"/>
            <w:vAlign w:val="center"/>
            <w:shd w:fill="F2F4F7"/>
            <w:tcMar>
              <w:top w:w="90" w:type="dxa"/>
              <w:start w:w="120" w:type="dxa"/>
              <w:bottom w:w="90" w:type="dxa"/>
              <w:end w:w="120" w:type="dxa"/>
            </w:tcMar>
          </w:tcPr>
          <w:p>
            <w:pPr>
              <w:spacing w:after="0" w:line="259" w:lineRule="auto"/>
            </w:pPr>
            <w:r>
              <w:rPr>
                <w:rFonts w:ascii="Arial" w:hAnsi="Arial"/>
                <w:sz w:val="17"/>
              </w:rPr>
              <w:t>höchstens 3,5</w:t>
            </w:r>
          </w:p>
        </w:tc>
        <w:tc>
          <w:tcPr>
            <w:tcW w:type="dxa" w:w="3300"/>
            <w:vAlign w:val="center"/>
            <w:shd w:fill="F2F4F7"/>
            <w:tcMar>
              <w:top w:w="90" w:type="dxa"/>
              <w:start w:w="120" w:type="dxa"/>
              <w:bottom w:w="90" w:type="dxa"/>
              <w:end w:w="120" w:type="dxa"/>
            </w:tcMar>
          </w:tcPr>
          <w:p>
            <w:pPr>
              <w:spacing w:after="0" w:line="259" w:lineRule="auto"/>
            </w:pPr>
            <w:r>
              <w:rPr>
                <w:rFonts w:ascii="Arial" w:hAnsi="Arial"/>
                <w:sz w:val="17"/>
              </w:rPr>
              <w:t>quartalsweise</w:t>
            </w:r>
          </w:p>
        </w:tc>
      </w:tr>
      <w:tr>
        <w:tc>
          <w:tcPr>
            <w:tcW w:type="dxa" w:w="3300"/>
            <w:vAlign w:val="center"/>
            <w:tcMar>
              <w:top w:w="90" w:type="dxa"/>
              <w:start w:w="120" w:type="dxa"/>
              <w:bottom w:w="90" w:type="dxa"/>
              <w:end w:w="120" w:type="dxa"/>
            </w:tcMar>
          </w:tcPr>
          <w:p>
            <w:pPr>
              <w:spacing w:after="0" w:line="259" w:lineRule="auto"/>
            </w:pPr>
            <w:r>
              <w:rPr>
                <w:rFonts w:ascii="Arial" w:hAnsi="Arial"/>
                <w:sz w:val="17"/>
              </w:rPr>
              <w:t>Ausschüttungen</w:t>
            </w:r>
          </w:p>
        </w:tc>
        <w:tc>
          <w:tcPr>
            <w:tcW w:type="dxa" w:w="3000"/>
            <w:vAlign w:val="center"/>
            <w:tcMar>
              <w:top w:w="90" w:type="dxa"/>
              <w:start w:w="120" w:type="dxa"/>
              <w:bottom w:w="90" w:type="dxa"/>
              <w:end w:w="120" w:type="dxa"/>
            </w:tcMar>
          </w:tcPr>
          <w:p>
            <w:pPr>
              <w:spacing w:after="0" w:line="259" w:lineRule="auto"/>
            </w:pPr>
            <w:r>
              <w:rPr>
                <w:rFonts w:ascii="Arial" w:hAnsi="Arial"/>
                <w:sz w:val="17"/>
              </w:rPr>
              <w:t>0 EUR ohne Zustimmung</w:t>
            </w:r>
          </w:p>
        </w:tc>
        <w:tc>
          <w:tcPr>
            <w:tcW w:type="dxa" w:w="3300"/>
            <w:vAlign w:val="center"/>
            <w:tcMar>
              <w:top w:w="90" w:type="dxa"/>
              <w:start w:w="120" w:type="dxa"/>
              <w:bottom w:w="90" w:type="dxa"/>
              <w:end w:w="120" w:type="dxa"/>
            </w:tcMar>
          </w:tcPr>
          <w:p>
            <w:pPr>
              <w:spacing w:after="0" w:line="259" w:lineRule="auto"/>
            </w:pPr>
            <w:r>
              <w:rPr>
                <w:rFonts w:ascii="Arial" w:hAnsi="Arial"/>
                <w:sz w:val="17"/>
              </w:rPr>
              <w:t>bis endgültige Freigabe</w:t>
            </w:r>
          </w:p>
        </w:tc>
      </w:tr>
      <w:tr>
        <w:tc>
          <w:tcPr>
            <w:tcW w:type="dxa" w:w="3300"/>
            <w:vAlign w:val="center"/>
            <w:shd w:fill="F2F4F7"/>
            <w:tcMar>
              <w:top w:w="90" w:type="dxa"/>
              <w:start w:w="120" w:type="dxa"/>
              <w:bottom w:w="90" w:type="dxa"/>
              <w:end w:w="120" w:type="dxa"/>
            </w:tcMar>
          </w:tcPr>
          <w:p>
            <w:pPr>
              <w:spacing w:after="0" w:line="259" w:lineRule="auto"/>
            </w:pPr>
            <w:r>
              <w:rPr>
                <w:rFonts w:ascii="Arial" w:hAnsi="Arial"/>
                <w:sz w:val="17"/>
              </w:rPr>
              <w:t>Pflichtteilszahlungen</w:t>
            </w:r>
          </w:p>
        </w:tc>
        <w:tc>
          <w:tcPr>
            <w:tcW w:type="dxa" w:w="3000"/>
            <w:vAlign w:val="center"/>
            <w:shd w:fill="F2F4F7"/>
            <w:tcMar>
              <w:top w:w="90" w:type="dxa"/>
              <w:start w:w="120" w:type="dxa"/>
              <w:bottom w:w="90" w:type="dxa"/>
              <w:end w:w="120" w:type="dxa"/>
            </w:tcMar>
          </w:tcPr>
          <w:p>
            <w:pPr>
              <w:spacing w:after="0" w:line="259" w:lineRule="auto"/>
            </w:pPr>
            <w:r>
              <w:rPr>
                <w:rFonts w:ascii="Arial" w:hAnsi="Arial"/>
                <w:sz w:val="17"/>
              </w:rPr>
              <w:t>höchstens 100.000 EUR kumuliert</w:t>
            </w:r>
          </w:p>
        </w:tc>
        <w:tc>
          <w:tcPr>
            <w:tcW w:type="dxa" w:w="3300"/>
            <w:vAlign w:val="center"/>
            <w:shd w:fill="F2F4F7"/>
            <w:tcMar>
              <w:top w:w="90" w:type="dxa"/>
              <w:start w:w="120" w:type="dxa"/>
              <w:bottom w:w="90" w:type="dxa"/>
              <w:end w:w="120" w:type="dxa"/>
            </w:tcMar>
          </w:tcPr>
          <w:p>
            <w:pPr>
              <w:spacing w:after="0" w:line="259" w:lineRule="auto"/>
            </w:pPr>
            <w:r>
              <w:rPr>
                <w:rFonts w:ascii="Arial" w:hAnsi="Arial"/>
                <w:sz w:val="17"/>
              </w:rPr>
              <w:t>bis Finanzierungsvereinbarung</w:t>
            </w:r>
          </w:p>
        </w:tc>
      </w:tr>
    </w:tbl>
    <w:p>
      <w:pPr>
        <w:spacing w:after="0"/>
      </w:pPr>
    </w:p>
    <w:p>
      <w:pPr>
        <w:pStyle w:val="Heading1"/>
      </w:pPr>
      <w:r>
        <w:t>3. Vorbehalte</w:t>
      </w:r>
    </w:p>
    <w:p>
      <w:pPr>
        <w:jc w:val="both"/>
      </w:pPr>
      <w:r>
        <w:t>Die Bank bewertet weder die Erbquote noch die Reichweite der Testamentsvollstreckung abschließend. Die Freigabe beruht auf den vorgelegten Nachweisen und gilt nicht für spätere Änderungen. Unrichtige oder unvollständige Angaben sind unverzüglich zu berichtigen.</w:t>
      </w:r>
    </w:p>
    <w:p>
      <w:pPr>
        <w:jc w:val="both"/>
      </w:pPr>
      <w:r>
        <w:t>Mainfranken Bank AG Claudia Rehm | Martin Zahn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Mainfranken Bank AG  |  MF-44719 / Waiver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Befristete Zustimmung zur Investitionsfinanzierung</dc:title>
  <dc:subject>MF-44719 / Waiver 1</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