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SCHREIBENENTWURF</w:t>
      </w:r>
    </w:p>
    <w:p>
      <w:pPr>
        <w:spacing w:after="40"/>
      </w:pPr>
      <w:r>
        <w:rPr>
          <w:rFonts w:ascii="Arial" w:hAnsi="Arial"/>
          <w:b/>
          <w:sz w:val="25"/>
        </w:rPr>
        <w:t>Kanzlei Steinbrück Partnerschaft</w:t>
      </w:r>
    </w:p>
    <w:p>
      <w:pPr>
        <w:spacing w:after="200"/>
      </w:pPr>
      <w:r>
        <w:rPr>
          <w:rFonts w:ascii="Arial" w:hAnsi="Arial"/>
          <w:color w:val="586069"/>
          <w:sz w:val="17"/>
        </w:rPr>
        <w:t>Erbrecht und Gesellschaftsrecht | Theaterstraße 9 | 97070 Würzburg | Telefon 0931 705580</w:t>
      </w:r>
    </w:p>
    <w:p>
      <w:pPr>
        <w:spacing w:after="160"/>
      </w:pPr>
      <w:r>
        <w:t>Dr. Fedor Lehnert, Testamentsvollstrecker</w:t>
      </w:r>
    </w:p>
    <w:p>
      <w:pPr>
        <w:spacing w:after="80"/>
      </w:pPr>
      <w:r>
        <w:rPr>
          <w:rFonts w:ascii="Arial" w:hAnsi="Arial"/>
          <w:color w:val="586069"/>
          <w:sz w:val="18"/>
        </w:rPr>
        <w:t>Datum: 20.05.2026  |  Zeichen: SP/26-309 MB</w:t>
      </w:r>
    </w:p>
    <w:p>
      <w:pPr>
        <w:pStyle w:val="Title"/>
      </w:pPr>
      <w:r>
        <w:t>Nachlass Heinrich Baumann - Befugnisse, Bericht und Pflichtteilsliquidität</w:t>
      </w:r>
    </w:p>
    <w:p>
      <w:pPr>
        <w:jc w:val="both"/>
      </w:pPr>
      <w:r>
        <w:t>Sehr geehrter Herr Dr. Lehnert, nach der Gesellschafterversammlung vom 18. Mai bitten wir um eine schriftliche Zusammenführung der von Ihnen beanspruchten Verwaltungs- und Stimmrechtsbefugnisse. Operative Geschäftsführung, Gesellschafterrechte und erbrechtliche Verwaltung dürfen im weiteren Vollzug nicht vermischt werden.</w:t>
      </w:r>
    </w:p>
    <w:p>
      <w:pPr>
        <w:pStyle w:val="Heading1"/>
      </w:pPr>
      <w:r>
        <w:t>1. Befugnismatrix</w:t>
      </w:r>
    </w:p>
    <w:p>
      <w:pPr>
        <w:jc w:val="both"/>
      </w:pPr>
      <w:r>
        <w:t>Bitte ordnen Sie jedem geplanten Schritt die Grundlage in Testament, Vollstreckerzeugnis, Satzung und Gesellschafterbeschluss zu. Dies betrifft insbesondere Investitionskredit, Ausschüttungssperre, Bestellung weiterer Geschäftsführer, Abschluss einer Stillhaltevereinbarung und Beauftragung des Unternehmensgutachters.</w:t>
      </w:r>
    </w:p>
    <w:p>
      <w:pPr>
        <w:pStyle w:val="Heading1"/>
      </w:pPr>
      <w:r>
        <w:t>2. Nachlassverzeichnis und Bewertung</w:t>
      </w:r>
    </w:p>
    <w:p>
      <w:pPr>
        <w:jc w:val="both"/>
      </w:pPr>
      <w:r>
        <w:t>Wir bitten um den Zeitplan für das Nachlassverzeichnis, die Auswahlkriterien des Gutachters und die vorgesehenen Bewertungsstichtage. Unternehmenswert, Verrechnungskonto und private Nachlasswerte sind transparent zu trennen. Mara wird erforderliche Unternehmensunterlagen nach gesonderter Vertraulichkeitsvereinbarung bereitstellen.</w:t>
      </w:r>
    </w:p>
    <w:p>
      <w:pPr>
        <w:pStyle w:val="Heading1"/>
      </w:pPr>
      <w:r>
        <w:t>3. Bank und Liquidität</w:t>
      </w:r>
    </w:p>
    <w:p>
      <w:pPr>
        <w:jc w:val="both"/>
      </w:pPr>
      <w:r>
        <w:t>Die Bankunterlagen erfordern eine 13-Wochen-Liquiditätsvorschau und eine Bandbreite der Pflichtteilsbelastung. Eine Anerkennung oder Zahlungszusage an Tilo ist damit nicht verbunden. Bitte stimmen Sie Erklärungen gegenüber der Bank vor Versand mit der Geschäftsführung ab, soweit sie operative Tatsachen betreffen.</w:t>
      </w:r>
    </w:p>
    <w:p>
      <w:pPr>
        <w:pStyle w:val="Heading1"/>
      </w:pPr>
      <w:r>
        <w:t>4. Dokumentation</w:t>
      </w:r>
    </w:p>
    <w:p>
      <w:pPr>
        <w:jc w:val="both"/>
      </w:pPr>
      <w:r>
        <w:t>Wir schlagen ein monatliches Statusprotokoll mit Entscheidungen, Interessenkonflikten, eingeholtem Rat, Kosten und offenen Fristen vor. Das erste Protokoll sollte bis 31. Mai vorliegen. So lassen sich spätere Streitigkeiten über Entscheidungsgrundlagen vermeiden.</w:t>
      </w:r>
    </w:p>
    <w:p>
      <w:pPr>
        <w:jc w:val="both"/>
      </w:pPr>
      <w:r>
        <w:t>Mit freundlichen Grüßen Dr. Felix Steinbrück Rechtsanwalt</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Kanzlei Steinbrück Partnerschaft  |  SP/26-309 MB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Nachlass Heinrich Baumann - Befugnisse, Bericht und Pflichtteilsliquidität</dc:title>
  <dc:subject>SP/26-309 MB</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