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VERWALTUNGSBERICHT</w:t>
      </w:r>
    </w:p>
    <w:p>
      <w:pPr>
        <w:spacing w:after="40"/>
      </w:pPr>
      <w:r>
        <w:rPr>
          <w:rFonts w:ascii="Arial" w:hAnsi="Arial"/>
          <w:b/>
          <w:sz w:val="25"/>
        </w:rPr>
        <w:t>Dr. Fedor Lehnert</w:t>
      </w:r>
    </w:p>
    <w:p>
      <w:pPr>
        <w:spacing w:after="200"/>
      </w:pPr>
      <w:r>
        <w:rPr>
          <w:rFonts w:ascii="Arial" w:hAnsi="Arial"/>
          <w:color w:val="586069"/>
          <w:sz w:val="17"/>
        </w:rPr>
        <w:t>Testamentsvollstrecker im Nachlass Heinrich Baumann | Hofstraße 3 | 97070 Würzburg</w:t>
      </w:r>
    </w:p>
    <w:p>
      <w:pPr>
        <w:spacing w:after="160"/>
      </w:pPr>
      <w:r>
        <w:t>Mara Baumann, Baumann-Stiftung und Tilo Baumann über Bevollmächtigte</w:t>
      </w:r>
    </w:p>
    <w:p>
      <w:pPr>
        <w:spacing w:after="80"/>
      </w:pPr>
      <w:r>
        <w:rPr>
          <w:rFonts w:ascii="Arial" w:hAnsi="Arial"/>
          <w:color w:val="586069"/>
          <w:sz w:val="18"/>
        </w:rPr>
        <w:t>Datum: 31.05.2026  |  Zeichen: TV 11/2026</w:t>
      </w:r>
    </w:p>
    <w:p>
      <w:pPr>
        <w:pStyle w:val="Title"/>
      </w:pPr>
      <w:r>
        <w:t>Bericht über den Stand der Verwaltung</w:t>
      </w:r>
    </w:p>
    <w:p>
      <w:pPr>
        <w:jc w:val="both"/>
      </w:pPr>
      <w:r>
        <w:t>Der Bericht dokumentiert den Stand zum 31. Mai 2026. Er enthält keine abschließende Feststellung von Erb-, Pflichtteils- oder Bewertungsansprüchen.</w:t>
      </w:r>
    </w:p>
    <w:p>
      <w:pPr>
        <w:pStyle w:val="Heading1"/>
      </w:pPr>
      <w:r>
        <w:t>1. Amtsannahme und Sicherung</w:t>
      </w:r>
    </w:p>
    <w:p>
      <w:pPr>
        <w:jc w:val="both"/>
      </w:pPr>
      <w:r>
        <w:t>Das Amt wurde am 18. April angenommen; das Zeugnis wurde am 27. Mai erteilt. Originaltestament, Gesellschafterunterlagen und Zugang zum digitalen Beteiligungsregister sind gesichert. Für Bank- und Registererklärungen wird jeweils geprüft, ob eine Erklärung des Testamentsvollstreckers, der Erben, der Geschäftsführung oder mehrerer Stellen erforderlich ist.</w:t>
      </w:r>
    </w:p>
    <w:p>
      <w:pPr>
        <w:pStyle w:val="Heading1"/>
      </w:pPr>
      <w:r>
        <w:t>2. Unternehmensbeteiligung</w:t>
      </w:r>
    </w:p>
    <w:p>
      <w:pPr>
        <w:jc w:val="both"/>
      </w:pPr>
      <w:r>
        <w:t>Die zum Nachlass gehörenden 72 Prozent werden getrennt vom Eigenanteil Maras und vom Anteil Tilos geführt. In der Gesellschafterversammlung vom 18. Mai wurde der Investitionsplan mit 82 Prozent der Stimmen bestätigt. Tilo stimmte gegen den Finanzierungsbeschluss und verlangte Protokollberichtigung zu zwei Wortbeiträgen.</w:t>
      </w:r>
    </w:p>
    <w:p>
      <w:pPr>
        <w:pStyle w:val="Heading1"/>
      </w:pPr>
      <w:r>
        <w:t>3. Nachlass und Pflichtteil</w:t>
      </w:r>
    </w:p>
    <w:tbl>
      <w:tblPr>
        <w:tblStyle w:val="TableGrid"/>
        <w:tblW w:type="dxa" w:w="9600"/>
        <w:tblLayout w:type="fixed"/>
        <w:tblLook w:firstColumn="1" w:firstRow="1" w:lastColumn="0" w:lastRow="0" w:noHBand="0" w:noVBand="1" w:val="04A0"/>
        <w:tblInd w:w="120" w:type="dxa"/>
      </w:tblPr>
      <w:tblGrid>
        <w:gridCol w:w="3000"/>
        <w:gridCol w:w="2900"/>
        <w:gridCol w:w="3700"/>
      </w:tblGrid>
      <w:tr>
        <w:trPr>
          <w:tblHeader w:val="true"/>
        </w:trPr>
        <w:tc>
          <w:tcPr>
            <w:tcW w:type="dxa" w:w="3000"/>
            <w:vAlign w:val="center"/>
            <w:shd w:fill="DCE6F1"/>
            <w:tcMar>
              <w:top w:w="90" w:type="dxa"/>
              <w:start w:w="120" w:type="dxa"/>
              <w:bottom w:w="90" w:type="dxa"/>
              <w:end w:w="120" w:type="dxa"/>
            </w:tcMar>
          </w:tcPr>
          <w:p>
            <w:pPr>
              <w:spacing w:after="0"/>
            </w:pPr>
            <w:r>
              <w:rPr>
                <w:rFonts w:ascii="Arial" w:hAnsi="Arial"/>
                <w:b/>
                <w:sz w:val="18"/>
              </w:rPr>
              <w:t>Position</w:t>
            </w:r>
          </w:p>
        </w:tc>
        <w:tc>
          <w:tcPr>
            <w:tcW w:type="dxa" w:w="2900"/>
            <w:vAlign w:val="center"/>
            <w:shd w:fill="DCE6F1"/>
            <w:tcMar>
              <w:top w:w="90" w:type="dxa"/>
              <w:start w:w="120" w:type="dxa"/>
              <w:bottom w:w="90" w:type="dxa"/>
              <w:end w:w="120" w:type="dxa"/>
            </w:tcMar>
          </w:tcPr>
          <w:p>
            <w:pPr>
              <w:spacing w:after="0"/>
            </w:pPr>
            <w:r>
              <w:rPr>
                <w:rFonts w:ascii="Arial" w:hAnsi="Arial"/>
                <w:b/>
                <w:sz w:val="18"/>
              </w:rPr>
              <w:t>Vorläufiger Wert</w:t>
            </w:r>
          </w:p>
        </w:tc>
        <w:tc>
          <w:tcPr>
            <w:tcW w:type="dxa" w:w="3700"/>
            <w:vAlign w:val="center"/>
            <w:shd w:fill="DCE6F1"/>
            <w:tcMar>
              <w:top w:w="90" w:type="dxa"/>
              <w:start w:w="120" w:type="dxa"/>
              <w:bottom w:w="90" w:type="dxa"/>
              <w:end w:w="120" w:type="dxa"/>
            </w:tcMar>
          </w:tcPr>
          <w:p>
            <w:pPr>
              <w:spacing w:after="0"/>
            </w:pPr>
            <w:r>
              <w:rPr>
                <w:rFonts w:ascii="Arial" w:hAnsi="Arial"/>
                <w:b/>
                <w:sz w:val="18"/>
              </w:rPr>
              <w:t>Status</w:t>
            </w:r>
          </w:p>
        </w:tc>
      </w:tr>
      <w:tr>
        <w:tc>
          <w:tcPr>
            <w:tcW w:type="dxa" w:w="3000"/>
            <w:vAlign w:val="center"/>
            <w:tcMar>
              <w:top w:w="90" w:type="dxa"/>
              <w:start w:w="120" w:type="dxa"/>
              <w:bottom w:w="90" w:type="dxa"/>
              <w:end w:w="120" w:type="dxa"/>
            </w:tcMar>
          </w:tcPr>
          <w:p>
            <w:pPr>
              <w:spacing w:after="0" w:line="259" w:lineRule="auto"/>
            </w:pPr>
            <w:r>
              <w:rPr>
                <w:rFonts w:ascii="Arial" w:hAnsi="Arial"/>
                <w:sz w:val="17"/>
              </w:rPr>
              <w:t>GmbH-Anteile 72 %</w:t>
            </w:r>
          </w:p>
        </w:tc>
        <w:tc>
          <w:tcPr>
            <w:tcW w:type="dxa" w:w="2900"/>
            <w:vAlign w:val="center"/>
            <w:tcMar>
              <w:top w:w="90" w:type="dxa"/>
              <w:start w:w="120" w:type="dxa"/>
              <w:bottom w:w="90" w:type="dxa"/>
              <w:end w:w="120" w:type="dxa"/>
            </w:tcMar>
          </w:tcPr>
          <w:p>
            <w:pPr>
              <w:spacing w:after="0" w:line="259" w:lineRule="auto"/>
            </w:pPr>
            <w:r>
              <w:rPr>
                <w:rFonts w:ascii="Arial" w:hAnsi="Arial"/>
                <w:sz w:val="17"/>
              </w:rPr>
              <w:t>Bandbreite 9,8-14,6 Mio. EUR</w:t>
            </w:r>
          </w:p>
        </w:tc>
        <w:tc>
          <w:tcPr>
            <w:tcW w:type="dxa" w:w="3700"/>
            <w:vAlign w:val="center"/>
            <w:tcMar>
              <w:top w:w="90" w:type="dxa"/>
              <w:start w:w="120" w:type="dxa"/>
              <w:bottom w:w="90" w:type="dxa"/>
              <w:end w:w="120" w:type="dxa"/>
            </w:tcMar>
          </w:tcPr>
          <w:p>
            <w:pPr>
              <w:spacing w:after="0" w:line="259" w:lineRule="auto"/>
            </w:pPr>
            <w:r>
              <w:rPr>
                <w:rFonts w:ascii="Arial" w:hAnsi="Arial"/>
                <w:sz w:val="17"/>
              </w:rPr>
              <w:t>Gutachterauswahl läuft</w:t>
            </w:r>
          </w:p>
        </w:tc>
      </w:tr>
      <w:tr>
        <w:tc>
          <w:tcPr>
            <w:tcW w:type="dxa" w:w="3000"/>
            <w:vAlign w:val="center"/>
            <w:shd w:fill="F2F4F7"/>
            <w:tcMar>
              <w:top w:w="90" w:type="dxa"/>
              <w:start w:w="120" w:type="dxa"/>
              <w:bottom w:w="90" w:type="dxa"/>
              <w:end w:w="120" w:type="dxa"/>
            </w:tcMar>
          </w:tcPr>
          <w:p>
            <w:pPr>
              <w:spacing w:after="0" w:line="259" w:lineRule="auto"/>
            </w:pPr>
            <w:r>
              <w:rPr>
                <w:rFonts w:ascii="Arial" w:hAnsi="Arial"/>
                <w:sz w:val="17"/>
              </w:rPr>
              <w:t>Wohnhaus Höchberg</w:t>
            </w:r>
          </w:p>
        </w:tc>
        <w:tc>
          <w:tcPr>
            <w:tcW w:type="dxa" w:w="2900"/>
            <w:vAlign w:val="center"/>
            <w:shd w:fill="F2F4F7"/>
            <w:tcMar>
              <w:top w:w="90" w:type="dxa"/>
              <w:start w:w="120" w:type="dxa"/>
              <w:bottom w:w="90" w:type="dxa"/>
              <w:end w:w="120" w:type="dxa"/>
            </w:tcMar>
          </w:tcPr>
          <w:p>
            <w:pPr>
              <w:spacing w:after="0" w:line="259" w:lineRule="auto"/>
            </w:pPr>
            <w:r>
              <w:rPr>
                <w:rFonts w:ascii="Arial" w:hAnsi="Arial"/>
                <w:sz w:val="17"/>
              </w:rPr>
              <w:t>1,15 Mio. EUR</w:t>
            </w:r>
          </w:p>
        </w:tc>
        <w:tc>
          <w:tcPr>
            <w:tcW w:type="dxa" w:w="3700"/>
            <w:vAlign w:val="center"/>
            <w:shd w:fill="F2F4F7"/>
            <w:tcMar>
              <w:top w:w="90" w:type="dxa"/>
              <w:start w:w="120" w:type="dxa"/>
              <w:bottom w:w="90" w:type="dxa"/>
              <w:end w:w="120" w:type="dxa"/>
            </w:tcMar>
          </w:tcPr>
          <w:p>
            <w:pPr>
              <w:spacing w:after="0" w:line="259" w:lineRule="auto"/>
            </w:pPr>
            <w:r>
              <w:rPr>
                <w:rFonts w:ascii="Arial" w:hAnsi="Arial"/>
                <w:sz w:val="17"/>
              </w:rPr>
              <w:t>Ortstermin 09.06.2026</w:t>
            </w:r>
          </w:p>
        </w:tc>
      </w:tr>
      <w:tr>
        <w:tc>
          <w:tcPr>
            <w:tcW w:type="dxa" w:w="3000"/>
            <w:vAlign w:val="center"/>
            <w:tcMar>
              <w:top w:w="90" w:type="dxa"/>
              <w:start w:w="120" w:type="dxa"/>
              <w:bottom w:w="90" w:type="dxa"/>
              <w:end w:w="120" w:type="dxa"/>
            </w:tcMar>
          </w:tcPr>
          <w:p>
            <w:pPr>
              <w:spacing w:after="0" w:line="259" w:lineRule="auto"/>
            </w:pPr>
            <w:r>
              <w:rPr>
                <w:rFonts w:ascii="Arial" w:hAnsi="Arial"/>
                <w:sz w:val="17"/>
              </w:rPr>
              <w:t>Depot</w:t>
            </w:r>
          </w:p>
        </w:tc>
        <w:tc>
          <w:tcPr>
            <w:tcW w:type="dxa" w:w="2900"/>
            <w:vAlign w:val="center"/>
            <w:tcMar>
              <w:top w:w="90" w:type="dxa"/>
              <w:start w:w="120" w:type="dxa"/>
              <w:bottom w:w="90" w:type="dxa"/>
              <w:end w:w="120" w:type="dxa"/>
            </w:tcMar>
          </w:tcPr>
          <w:p>
            <w:pPr>
              <w:spacing w:after="0" w:line="259" w:lineRule="auto"/>
            </w:pPr>
            <w:r>
              <w:rPr>
                <w:rFonts w:ascii="Arial" w:hAnsi="Arial"/>
                <w:sz w:val="17"/>
              </w:rPr>
              <w:t>1,84 Mio. EUR</w:t>
            </w:r>
          </w:p>
        </w:tc>
        <w:tc>
          <w:tcPr>
            <w:tcW w:type="dxa" w:w="3700"/>
            <w:vAlign w:val="center"/>
            <w:tcMar>
              <w:top w:w="90" w:type="dxa"/>
              <w:start w:w="120" w:type="dxa"/>
              <w:bottom w:w="90" w:type="dxa"/>
              <w:end w:w="120" w:type="dxa"/>
            </w:tcMar>
          </w:tcPr>
          <w:p>
            <w:pPr>
              <w:spacing w:after="0" w:line="259" w:lineRule="auto"/>
            </w:pPr>
            <w:r>
              <w:rPr>
                <w:rFonts w:ascii="Arial" w:hAnsi="Arial"/>
                <w:sz w:val="17"/>
              </w:rPr>
              <w:t>Bankbestätigung liegt vor</w:t>
            </w:r>
          </w:p>
        </w:tc>
      </w:tr>
      <w:tr>
        <w:tc>
          <w:tcPr>
            <w:tcW w:type="dxa" w:w="3000"/>
            <w:vAlign w:val="center"/>
            <w:shd w:fill="F2F4F7"/>
            <w:tcMar>
              <w:top w:w="90" w:type="dxa"/>
              <w:start w:w="120" w:type="dxa"/>
              <w:bottom w:w="90" w:type="dxa"/>
              <w:end w:w="120" w:type="dxa"/>
            </w:tcMar>
          </w:tcPr>
          <w:p>
            <w:pPr>
              <w:spacing w:after="0" w:line="259" w:lineRule="auto"/>
            </w:pPr>
            <w:r>
              <w:rPr>
                <w:rFonts w:ascii="Arial" w:hAnsi="Arial"/>
                <w:sz w:val="17"/>
              </w:rPr>
              <w:t>Verrechnungskonto GmbH</w:t>
            </w:r>
          </w:p>
        </w:tc>
        <w:tc>
          <w:tcPr>
            <w:tcW w:type="dxa" w:w="2900"/>
            <w:vAlign w:val="center"/>
            <w:shd w:fill="F2F4F7"/>
            <w:tcMar>
              <w:top w:w="90" w:type="dxa"/>
              <w:start w:w="120" w:type="dxa"/>
              <w:bottom w:w="90" w:type="dxa"/>
              <w:end w:w="120" w:type="dxa"/>
            </w:tcMar>
          </w:tcPr>
          <w:p>
            <w:pPr>
              <w:spacing w:after="0" w:line="259" w:lineRule="auto"/>
            </w:pPr>
            <w:r>
              <w:rPr>
                <w:rFonts w:ascii="Arial" w:hAnsi="Arial"/>
                <w:sz w:val="17"/>
              </w:rPr>
              <w:t>plus 218.400 EUR</w:t>
            </w:r>
          </w:p>
        </w:tc>
        <w:tc>
          <w:tcPr>
            <w:tcW w:type="dxa" w:w="3700"/>
            <w:vAlign w:val="center"/>
            <w:shd w:fill="F2F4F7"/>
            <w:tcMar>
              <w:top w:w="90" w:type="dxa"/>
              <w:start w:w="120" w:type="dxa"/>
              <w:bottom w:w="90" w:type="dxa"/>
              <w:end w:w="120" w:type="dxa"/>
            </w:tcMar>
          </w:tcPr>
          <w:p>
            <w:pPr>
              <w:spacing w:after="0" w:line="259" w:lineRule="auto"/>
            </w:pPr>
            <w:r>
              <w:rPr>
                <w:rFonts w:ascii="Arial" w:hAnsi="Arial"/>
                <w:sz w:val="17"/>
              </w:rPr>
              <w:t>Jahresabschlussbuchungen offen</w:t>
            </w:r>
          </w:p>
        </w:tc>
      </w:tr>
      <w:tr>
        <w:tc>
          <w:tcPr>
            <w:tcW w:type="dxa" w:w="3000"/>
            <w:vAlign w:val="center"/>
            <w:tcMar>
              <w:top w:w="90" w:type="dxa"/>
              <w:start w:w="120" w:type="dxa"/>
              <w:bottom w:w="90" w:type="dxa"/>
              <w:end w:w="120" w:type="dxa"/>
            </w:tcMar>
          </w:tcPr>
          <w:p>
            <w:pPr>
              <w:spacing w:after="0" w:line="259" w:lineRule="auto"/>
            </w:pPr>
            <w:r>
              <w:rPr>
                <w:rFonts w:ascii="Arial" w:hAnsi="Arial"/>
                <w:sz w:val="17"/>
              </w:rPr>
              <w:t>Nachlassverbindlichkeiten</w:t>
            </w:r>
          </w:p>
        </w:tc>
        <w:tc>
          <w:tcPr>
            <w:tcW w:type="dxa" w:w="2900"/>
            <w:vAlign w:val="center"/>
            <w:tcMar>
              <w:top w:w="90" w:type="dxa"/>
              <w:start w:w="120" w:type="dxa"/>
              <w:bottom w:w="90" w:type="dxa"/>
              <w:end w:w="120" w:type="dxa"/>
            </w:tcMar>
          </w:tcPr>
          <w:p>
            <w:pPr>
              <w:spacing w:after="0" w:line="259" w:lineRule="auto"/>
            </w:pPr>
            <w:r>
              <w:rPr>
                <w:rFonts w:ascii="Arial" w:hAnsi="Arial"/>
                <w:sz w:val="17"/>
              </w:rPr>
              <w:t>rund 486.000 EUR</w:t>
            </w:r>
          </w:p>
        </w:tc>
        <w:tc>
          <w:tcPr>
            <w:tcW w:type="dxa" w:w="3700"/>
            <w:vAlign w:val="center"/>
            <w:tcMar>
              <w:top w:w="90" w:type="dxa"/>
              <w:start w:w="120" w:type="dxa"/>
              <w:bottom w:w="90" w:type="dxa"/>
              <w:end w:w="120" w:type="dxa"/>
            </w:tcMar>
          </w:tcPr>
          <w:p>
            <w:pPr>
              <w:spacing w:after="0" w:line="259" w:lineRule="auto"/>
            </w:pPr>
            <w:r>
              <w:rPr>
                <w:rFonts w:ascii="Arial" w:hAnsi="Arial"/>
                <w:sz w:val="17"/>
              </w:rPr>
              <w:t>Steuer und Darlehen zu prüfen</w:t>
            </w:r>
          </w:p>
        </w:tc>
      </w:tr>
    </w:tbl>
    <w:p>
      <w:pPr>
        <w:spacing w:after="0"/>
      </w:pPr>
    </w:p>
    <w:p>
      <w:pPr>
        <w:pStyle w:val="Heading1"/>
      </w:pPr>
      <w:r>
        <w:t>4. Entscheidungen und Konflikte</w:t>
      </w:r>
    </w:p>
    <w:p>
      <w:pPr>
        <w:jc w:val="both"/>
      </w:pPr>
      <w:r>
        <w:t>Für die Beauftragung des Unternehmensgutachters werden drei Angebote eingeholt. Eine von Mara vorgeschlagene Beratungsgesellschaft wird wegen früherer Tätigkeit für die GmbH nur berücksichtigt, wenn alle Beteiligten den Interessenkonflikt nach vollständiger Offenlegung akzeptieren. Zahlungen auf Pflichtteilsforderungen erfolgen vorerst nicht; ein verjährungsbezogener Stillstand wird anwaltlich geprüft.</w:t>
      </w:r>
    </w:p>
    <w:p>
      <w:pPr>
        <w:pStyle w:val="Heading1"/>
      </w:pPr>
      <w:r>
        <w:t>5. Nächste Fristen</w:t>
      </w:r>
    </w:p>
    <w:p>
      <w:pPr>
        <w:jc w:val="both"/>
      </w:pPr>
      <w:r>
        <w:t>Bis 15. Juni soll die Gesellschafterliste eingereicht werden. Bis 30. Juni werden die privaten Nachlasswerte vervollständigt. Der Unternehmensgutachter soll bis 10. Juli beauftragt sein. Ein weiterer Bericht folgt zum 31. Juli oder früher bei wesentlicher Änderung der Bankfinanzierung.</w:t>
      </w:r>
    </w:p>
    <w:p>
      <w:pPr>
        <w:jc w:val="both"/>
      </w:pPr>
      <w:r>
        <w:t>Dr. Fedor Lehnert Testamentsvollstrecker</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Dr. Fedor Lehnert  |  TV 11/2026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 über den Stand der Verwaltung</dc:title>
  <dc:subject>TV 11/2026</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