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7365D"/>
          <w:sz w:val="17"/>
        </w:rPr>
        <w:t>KANZLEIVERMERK</w:t>
      </w:r>
    </w:p>
    <w:p>
      <w:pPr>
        <w:spacing w:after="40"/>
      </w:pPr>
      <w:r>
        <w:rPr>
          <w:rFonts w:ascii="Arial" w:hAnsi="Arial"/>
          <w:b/>
          <w:sz w:val="25"/>
        </w:rPr>
        <w:t>Kanzlei Yilmaz &amp; Becker</w:t>
      </w:r>
    </w:p>
    <w:p>
      <w:pPr>
        <w:spacing w:after="200"/>
      </w:pPr>
      <w:r>
        <w:rPr>
          <w:rFonts w:ascii="Arial" w:hAnsi="Arial"/>
          <w:color w:val="586069"/>
          <w:sz w:val="17"/>
        </w:rPr>
        <w:t>Familienrecht | Rüttenscheider Straße 118 | 45131 Essen | Telefon 0201 440870</w:t>
      </w:r>
    </w:p>
    <w:p>
      <w:pPr>
        <w:spacing w:after="160"/>
      </w:pPr>
      <w:r>
        <w:t>Intern - elektronische Handakte</w:t>
      </w:r>
    </w:p>
    <w:p>
      <w:pPr>
        <w:spacing w:after="80"/>
      </w:pPr>
      <w:r>
        <w:rPr>
          <w:rFonts w:ascii="Arial" w:hAnsi="Arial"/>
          <w:color w:val="586069"/>
          <w:sz w:val="18"/>
        </w:rPr>
        <w:t>Datum: 20.06.2026  |  Zeichen: YB/26-418 DA</w:t>
      </w:r>
    </w:p>
    <w:p>
      <w:pPr>
        <w:pStyle w:val="Title"/>
      </w:pPr>
      <w:r>
        <w:t>Mandatsnotiz Aydin - Gewaltschutz, Wohnung, Sorge und Umgang</w:t>
      </w:r>
    </w:p>
    <w:p>
      <w:pPr>
        <w:jc w:val="both"/>
      </w:pPr>
      <w:r>
        <w:t>Derya Aydin wurde am Samstagvormittag im Beisein ihrer Schwester beraten. Die Kinder Leila und Emir waren nicht anwesend. Das Gespräch diente der Sicherung des aktuellen Sachverhalts und der Auswahl eines kurzfristig tragfähigen Schutz- und Umgangskonzepts.</w:t>
      </w:r>
    </w:p>
    <w:p>
      <w:pPr>
        <w:pStyle w:val="Heading1"/>
      </w:pPr>
      <w:r>
        <w:t>1. Aktuelle Lage</w:t>
      </w:r>
    </w:p>
    <w:p>
      <w:pPr>
        <w:jc w:val="both"/>
      </w:pPr>
      <w:r>
        <w:t>Am 18. Juni kam es in der Ehewohnung zu einem lautstarken Streit. Nach Deryas Darstellung schlug Cem gegen die Schlafzimmertür, kündigte an, sie werde „die Kinder nicht behalten“, und versuchte, ihr Telefon abzunehmen. Cem bestreitet körperliche Gewalt und behauptet, die Tür sei beim Zuschlagen gegen einen Wäschekorb beschädigt worden. Die Nachbarin rief die Polizei.</w:t>
      </w:r>
    </w:p>
    <w:p>
      <w:pPr>
        <w:jc w:val="both"/>
      </w:pPr>
      <w:r>
        <w:t>Die Polizei sprach eine Wegweisung bis 28. Juni aus. Derya übernachtete zunächst mit den Kindern bei ihrer Schwester, möchte aber in die Ehewohnung zurückkehren. Schlüsselbesitz, persönliche Sachen Cems und Übergabe eines Dienstfahrzeugs sind ungeklärt.</w:t>
      </w:r>
    </w:p>
    <w:p>
      <w:pPr>
        <w:pStyle w:val="Heading1"/>
      </w:pPr>
      <w:r>
        <w:t>2. Kinder</w:t>
      </w:r>
    </w:p>
    <w:p>
      <w:pPr>
        <w:jc w:val="both"/>
      </w:pPr>
      <w:r>
        <w:t>Leila, zehn Jahre, wandte sich am 19. Juni über das Schulportal an die Schulsozialarbeiterin und bat darum, nicht als Nachrichtenübermittlerin benutzt zu werden. Emir, sechs Jahre, fragt nach seinem Vater und weint bei Abholsituationen. Beide Kinder befanden sich während des Polizeieinsatzes zeitweise bei der Nachbarin. Es gibt bislang keine gerichtliche Umgangsregelung und keinen bestellten Verfahrensbeistand.</w:t>
      </w:r>
    </w:p>
    <w:p>
      <w:pPr>
        <w:pStyle w:val="Heading1"/>
      </w:pPr>
      <w:r>
        <w:t>3. Ziele</w:t>
      </w:r>
    </w:p>
    <w:p>
      <w:pPr>
        <w:jc w:val="both"/>
      </w:pPr>
      <w:r>
        <w:t>Derya möchte eine befristete Kontakt- und Näherungsanordnung, die Zuweisung der Wohnung und eine sichere Kommunikation nur über eine Eltern-App. Sie lehnt Kontakt der Kinder zum Vater nicht grundsätzlich ab, verlangt aber zunächst begleitete Übergaben. Schul- und Gesundheitsentscheidungen sollen nicht ohne Not aus dem gemeinsamen Sorgerecht herausgelöst werden.</w:t>
      </w:r>
    </w:p>
    <w:p>
      <w:pPr>
        <w:pStyle w:val="Heading1"/>
      </w:pPr>
      <w:r>
        <w:t>4. Sofortige Belege und Schritte</w:t>
      </w:r>
    </w:p>
    <w:p>
      <w:pPr>
        <w:jc w:val="both"/>
      </w:pPr>
      <w:r>
        <w:t>Vollständiger Polizeivorgang, Einsatzaufzeichnung, Fotos mit Metadaten, Sprachnachrichten, Schulnotiz und medizinische Unterlagen werden gesichert. Der Antrag muss verbotene Handlungen, räumliche Bereiche, Kommunikationskanäle und Dauer konkret bezeichnen. Parallel wird ein vorläufiger Umgangskorridor entwickelt, der Schutzanordnung und Eltern-Kind-Kontakt nicht widersprüchlich regelt.</w:t>
      </w:r>
    </w:p>
    <w:p>
      <w:pPr>
        <w:jc w:val="both"/>
      </w:pPr>
      <w:r>
        <w:t>Bearbeiterin: Rechtsanwältin Ayla Yilmaz Wiedervorlage: 22.06.2026, 08:00 Uhr</w:t>
      </w:r>
    </w:p>
    <w:sectPr w:rsidR="00FC693F" w:rsidRPr="0006063C" w:rsidSect="00034616">
      <w:headerReference w:type="default" r:id="rId9"/>
      <w:footerReference w:type="default" r:id="rId10"/>
      <w:pgSz w:w="11906" w:h="16838"/>
      <w:pgMar w:top="1020" w:right="1134" w:bottom="1020"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586069"/>
        <w:sz w:val="16"/>
      </w:rPr>
      <w:t xml:space="preserve">Seite </w:t>
    </w:r>
    <w:r>
      <w:rPr>
        <w:rFonts w:ascii="Arial" w:hAnsi="Arial"/>
        <w:color w:val="58606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586069"/>
        <w:sz w:val="16"/>
      </w:rPr>
      <w:t>Kanzlei Yilmaz &amp; Becker  |  YB/26-418 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65D"/>
      <w:sz w:val="25"/>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160"/>
      <w:contextualSpacing/>
    </w:pPr>
    <w:rPr>
      <w:rFonts w:asciiTheme="majorHAnsi" w:eastAsiaTheme="majorEastAsia" w:hAnsiTheme="majorHAnsi" w:cstheme="majorBidi" w:ascii="Arial" w:hAnsi="Arial"/>
      <w:b/>
      <w:color w:val="17365D"/>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Mandatsnotiz Aydin - Gewaltschutz, Wohnung, Sorge und Umgang</dc:title>
  <dc:subject>YB/26-418 DA</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