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17365D"/>
          <w:sz w:val="17"/>
        </w:rPr>
        <w:t>ARBEITSCHRONOLOGIE</w:t>
      </w:r>
    </w:p>
    <w:p>
      <w:pPr>
        <w:spacing w:after="40"/>
      </w:pPr>
      <w:r>
        <w:rPr>
          <w:rFonts w:ascii="Arial" w:hAnsi="Arial"/>
          <w:b/>
          <w:sz w:val="25"/>
        </w:rPr>
        <w:t>Kanzlei Yilmaz &amp; Becker</w:t>
      </w:r>
    </w:p>
    <w:p>
      <w:pPr>
        <w:spacing w:after="200"/>
      </w:pPr>
      <w:r>
        <w:rPr>
          <w:rFonts w:ascii="Arial" w:hAnsi="Arial"/>
          <w:color w:val="586069"/>
          <w:sz w:val="17"/>
        </w:rPr>
        <w:t>Familienrecht | Rüttenscheider Straße 118 | 45131 Essen | Telefon 0201 440870</w:t>
      </w:r>
    </w:p>
    <w:p>
      <w:pPr>
        <w:spacing w:after="160"/>
      </w:pPr>
      <w:r>
        <w:t>Intern - elektronische Handakte</w:t>
      </w:r>
    </w:p>
    <w:p>
      <w:pPr>
        <w:spacing w:after="80"/>
      </w:pPr>
      <w:r>
        <w:rPr>
          <w:rFonts w:ascii="Arial" w:hAnsi="Arial"/>
          <w:color w:val="586069"/>
          <w:sz w:val="18"/>
        </w:rPr>
        <w:t>Datum: 22.06.2026  |  Zeichen: YB/26-418 DA</w:t>
      </w:r>
    </w:p>
    <w:p>
      <w:pPr>
        <w:pStyle w:val="Title"/>
      </w:pPr>
      <w:r>
        <w:t>Chronologie und Belegstatus</w:t>
      </w:r>
    </w:p>
    <w:p>
      <w:pPr>
        <w:jc w:val="both"/>
      </w:pPr>
      <w:r>
        <w:t>Die Übersicht unterscheidet eigene Wahrnehmung, Fremdmitteilung und dokumentierte Maßnahme. Widersprüche bleiben bis zur Anhörung sichtbar.</w:t>
      </w:r>
    </w:p>
    <w:p>
      <w:pPr>
        <w:pStyle w:val="Heading1"/>
      </w:pPr>
      <w:r>
        <w:t>1. Zeitachse</w:t>
      </w:r>
    </w:p>
    <w:tbl>
      <w:tblPr>
        <w:tblStyle w:val="TableGrid"/>
        <w:tblW w:type="dxa" w:w="960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100"/>
        <w:gridCol w:w="2100"/>
        <w:gridCol w:w="2500"/>
      </w:tblGrid>
      <w:tr>
        <w:trPr>
          <w:tblHeader w:val="true"/>
        </w:trPr>
        <w:tc>
          <w:tcPr>
            <w:tcW w:type="dxa" w:w="1900"/>
            <w:vAlign w:val="center"/>
            <w:shd w:fill="DCE6F1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Datum / Uhrzeit</w:t>
            </w:r>
          </w:p>
        </w:tc>
        <w:tc>
          <w:tcPr>
            <w:tcW w:type="dxa" w:w="3100"/>
            <w:vAlign w:val="center"/>
            <w:shd w:fill="DCE6F1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Vorgang</w:t>
            </w:r>
          </w:p>
        </w:tc>
        <w:tc>
          <w:tcPr>
            <w:tcW w:type="dxa" w:w="2100"/>
            <w:vAlign w:val="center"/>
            <w:shd w:fill="DCE6F1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Quelle</w:t>
            </w:r>
          </w:p>
        </w:tc>
        <w:tc>
          <w:tcPr>
            <w:tcW w:type="dxa" w:w="2500"/>
            <w:vAlign w:val="center"/>
            <w:shd w:fill="DCE6F1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Offener Punkt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18.06.2026, 20:41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Notruf der Nachbarin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Einsatzleitsystem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Wortlaut und Hintergrundgeräusche</w:t>
            </w:r>
          </w:p>
        </w:tc>
      </w:tr>
      <w:tr>
        <w:tc>
          <w:tcPr>
            <w:tcW w:type="dxa" w:w="19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18.06.2026, 20:52</w:t>
            </w:r>
          </w:p>
        </w:tc>
        <w:tc>
          <w:tcPr>
            <w:tcW w:type="dxa" w:w="3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Streifenwagen trifft ein</w:t>
            </w:r>
          </w:p>
        </w:tc>
        <w:tc>
          <w:tcPr>
            <w:tcW w:type="dxa" w:w="2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Einsatzbericht</w:t>
            </w:r>
          </w:p>
        </w:tc>
        <w:tc>
          <w:tcPr>
            <w:tcW w:type="dxa" w:w="25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Lage beim Eintreffen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18.06.2026, 21:25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Wegweisung gegen Cem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Polizeiverfügung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Zustellung und Schlüssel</w:t>
            </w:r>
          </w:p>
        </w:tc>
      </w:tr>
      <w:tr>
        <w:tc>
          <w:tcPr>
            <w:tcW w:type="dxa" w:w="19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19.06.2026, 07:48</w:t>
            </w:r>
          </w:p>
        </w:tc>
        <w:tc>
          <w:tcPr>
            <w:tcW w:type="dxa" w:w="3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Leila schreibt Schulsozialarbeit</w:t>
            </w:r>
          </w:p>
        </w:tc>
        <w:tc>
          <w:tcPr>
            <w:tcW w:type="dxa" w:w="2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Schulportal</w:t>
            </w:r>
          </w:p>
        </w:tc>
        <w:tc>
          <w:tcPr>
            <w:tcW w:type="dxa" w:w="25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Kontext vor Nachricht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19.06.2026, 17:30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Derya zieht vorläufig zur Schwester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Erklärung Derya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Dauer und Wohnungszugang</w:t>
            </w:r>
          </w:p>
        </w:tc>
      </w:tr>
      <w:tr>
        <w:tc>
          <w:tcPr>
            <w:tcW w:type="dxa" w:w="19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21.06.2026, 10:00</w:t>
            </w:r>
          </w:p>
        </w:tc>
        <w:tc>
          <w:tcPr>
            <w:tcW w:type="dxa" w:w="3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geplante Abholung fällt aus</w:t>
            </w:r>
          </w:p>
        </w:tc>
        <w:tc>
          <w:tcPr>
            <w:tcW w:type="dxa" w:w="2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Elternchat</w:t>
            </w:r>
          </w:p>
        </w:tc>
        <w:tc>
          <w:tcPr>
            <w:tcW w:type="dxa" w:w="25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Kenntnis von Wegweisung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22.06.2026, 09:30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Jugendamt telefoniert mit Eltern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Telefonvermerk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Kinder noch nicht angehört</w:t>
            </w:r>
          </w:p>
        </w:tc>
      </w:tr>
      <w:tr>
        <w:tc>
          <w:tcPr>
            <w:tcW w:type="dxa" w:w="19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24.06.2026, 12:15</w:t>
            </w:r>
          </w:p>
        </w:tc>
        <w:tc>
          <w:tcPr>
            <w:tcW w:type="dxa" w:w="3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Schule bittet um Abholregel</w:t>
            </w:r>
          </w:p>
        </w:tc>
        <w:tc>
          <w:tcPr>
            <w:tcW w:type="dxa" w:w="21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E-Mail Schule</w:t>
            </w:r>
          </w:p>
        </w:tc>
        <w:tc>
          <w:tcPr>
            <w:tcW w:type="dxa" w:w="2500"/>
            <w:vAlign w:val="center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Sorge- und Umgangsnachweise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28.06.2026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Ende polizeilicher Wegweisung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Verfügung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Arial" w:hAnsi="Arial"/>
                <w:sz w:val="17"/>
              </w:rPr>
              <w:t>gerichtliche Anschlussregelung</w:t>
            </w:r>
          </w:p>
        </w:tc>
      </w:tr>
    </w:tbl>
    <w:p>
      <w:pPr>
        <w:spacing w:after="0"/>
      </w:pPr>
    </w:p>
    <w:p>
      <w:pPr>
        <w:pStyle w:val="Heading1"/>
      </w:pPr>
      <w:r>
        <w:t>2. Frist- und Verfahrensspur</w:t>
      </w:r>
    </w:p>
    <w:p>
      <w:pPr>
        <w:jc w:val="both"/>
      </w:pPr>
      <w:r>
        <w:t>Gewaltschutz, Wohnungszuweisung und Umgang sind in Antrag, Beteiligtenkreis und Tatsachengrundlage auseinanderzuhalten, aber praktisch aufeinander abzustimmen. Die Kinder sind grundsätzlich persönlich anzuhören; ein Absehen darf nicht schematisch mit dem Alter begründet werden. Ein Eilantrag muss den aktuellen Regelungsbedarf und die Eignung milderer Maßnahmen konkret darlegen.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41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color w:val="586069"/>
        <w:sz w:val="16"/>
      </w:rPr>
      <w:t xml:space="preserve">Seite </w:t>
    </w:r>
    <w:r>
      <w:rPr>
        <w:rFonts w:ascii="Arial" w:hAnsi="Arial"/>
        <w:color w:val="58606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/>
        <w:color w:val="586069"/>
        <w:sz w:val="16"/>
      </w:rPr>
      <w:t>Kanzlei Yilmaz &amp; Becker  |  YB/26-418 DA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Chronologie und Belegstatus</dc:title>
  <dc:subject>YB/26-418 DA</dc:subject>
  <dc:creator>Klotzkette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