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ÄRZTLICHER BEFUNDBERICHT</w:t>
      </w:r>
    </w:p>
    <w:p>
      <w:pPr>
        <w:spacing w:after="40"/>
      </w:pPr>
      <w:r>
        <w:rPr>
          <w:rFonts w:ascii="Arial" w:hAnsi="Arial"/>
          <w:b/>
          <w:sz w:val="25"/>
        </w:rPr>
        <w:t>Hausarztpraxis Dr. med. Leyla Aksoy</w:t>
      </w:r>
    </w:p>
    <w:p>
      <w:pPr>
        <w:spacing w:after="200"/>
      </w:pPr>
      <w:r>
        <w:rPr>
          <w:rFonts w:ascii="Arial" w:hAnsi="Arial"/>
          <w:color w:val="586069"/>
          <w:sz w:val="17"/>
        </w:rPr>
        <w:t>Rüttenscheider Straße 203 | 45131 Essen</w:t>
      </w:r>
    </w:p>
    <w:p>
      <w:pPr>
        <w:spacing w:after="160"/>
      </w:pPr>
      <w:r>
        <w:t>Derya Aydin / weiterbehandelnde Stelle</w:t>
      </w:r>
    </w:p>
    <w:p>
      <w:pPr>
        <w:spacing w:after="80"/>
      </w:pPr>
      <w:r>
        <w:rPr>
          <w:rFonts w:ascii="Arial" w:hAnsi="Arial"/>
          <w:color w:val="586069"/>
          <w:sz w:val="18"/>
        </w:rPr>
        <w:t>Datum: 19.06.2026  |  Zeichen: Pat.-Nr. 118403</w:t>
      </w:r>
    </w:p>
    <w:p>
      <w:pPr>
        <w:pStyle w:val="Title"/>
      </w:pPr>
      <w:r>
        <w:t>Ärztlicher Befundbericht</w:t>
      </w:r>
    </w:p>
    <w:p>
      <w:pPr>
        <w:jc w:val="both"/>
      </w:pPr>
      <w:r>
        <w:t>Frau Derya Aydin stellte sich am 19. Juni 2026 um 11:20 Uhr ohne Überweisung vor. Anlass war eine körperliche Auseinandersetzung im häuslichen Umfeld am Vorabend. Der Bericht beschränkt sich auf Anamnese und erhobene Befunde.</w:t>
      </w:r>
    </w:p>
    <w:p>
      <w:pPr>
        <w:pStyle w:val="Heading1"/>
      </w:pPr>
      <w:r>
        <w:t>1. Anamnese</w:t>
      </w:r>
    </w:p>
    <w:p>
      <w:pPr>
        <w:jc w:val="both"/>
      </w:pPr>
      <w:r>
        <w:t>Die Patientin berichtete, sie sei beim Zurückweichen mit dem linken Unterarm gegen einen Türrahmen gestoßen, nachdem ihr Ehemann nach einem Telefon gegriffen habe. Einen gezielten Schlag gegen den Arm verneinte sie. Sie klagte über Druckschmerz am Unterarm, Kopfschmerzen und Schlaflosigkeit. Bewusstlosigkeit, Übelkeit und Sturz wurden verneint.</w:t>
      </w:r>
    </w:p>
    <w:p>
      <w:pPr>
        <w:pStyle w:val="Heading1"/>
      </w:pPr>
      <w:r>
        <w:t>2. Befund</w:t>
      </w:r>
    </w:p>
    <w:p>
      <w:pPr>
        <w:jc w:val="both"/>
      </w:pPr>
      <w:r>
        <w:t>Linker Unterarm streckseitig: flächige Rötung etwa 5 mal 2 Zentimeter, geringe Druckempfindlichkeit, keine Schwellung, keine Bewegungseinschränkung, Durchblutung und Sensibilität unauffällig. Keine weiteren äußeren Verletzungszeichen. Kreislauf stabil, neurologischer Kurzstatus unauffällig. Die Patientin wirkte angespannt und weinte zeitweise.</w:t>
      </w:r>
    </w:p>
    <w:p>
      <w:pPr>
        <w:pStyle w:val="Heading1"/>
      </w:pPr>
      <w:r>
        <w:t>3. Maßnahmen</w:t>
      </w:r>
    </w:p>
    <w:p>
      <w:pPr>
        <w:jc w:val="both"/>
      </w:pPr>
      <w:r>
        <w:t>Kühlung und bedarfsweise Einnahme eines handelsüblichen Schmerzmittels wurden empfohlen. Eine Arbeitsunfähigkeitsbescheinigung bis 22. Juni wurde ausgestellt. Bei zunehmenden Schmerzen, Schwellung oder neurologischen Symptomen soll eine erneute Vorstellung erfolgen. Die Patientin erhielt Hinweise auf psychosoziale Beratung und ärztlichen Bereitschaftsdienst.</w:t>
      </w:r>
    </w:p>
    <w:p>
      <w:pPr>
        <w:pStyle w:val="Heading1"/>
      </w:pPr>
      <w:r>
        <w:t>4. Einordnung</w:t>
      </w:r>
    </w:p>
    <w:p>
      <w:pPr>
        <w:jc w:val="both"/>
      </w:pPr>
      <w:r>
        <w:t>Der Befund ist mit einem stumpfen Kontakt vereinbar, erlaubt aber keine sichere Aussage zu Mechanismus, Verursacher oder rechtlicher Bewertung. Die Schilderung der Patientin ist als Anamnese gekennzeichnet.</w:t>
      </w:r>
    </w:p>
    <w:p>
      <w:pPr>
        <w:jc w:val="both"/>
      </w:pPr>
      <w:r>
        <w:t>Dr. med. Leyla Aksoy Fachärztin für Allgemeinmedizin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Hausarztpraxis Dr. med. Leyla Aksoy  |  Pat.-Nr. 118403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Ärztlicher Befundbericht</dc:title>
  <dc:subject>Pat.-Nr. 118403</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