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ANTRAGSENTWURF</w:t>
      </w:r>
    </w:p>
    <w:p>
      <w:pPr>
        <w:spacing w:after="40"/>
      </w:pPr>
      <w:r>
        <w:rPr>
          <w:rFonts w:ascii="Arial" w:hAnsi="Arial"/>
          <w:b/>
          <w:sz w:val="25"/>
        </w:rPr>
        <w:t>Kanzlei Yilmaz &amp; Becker</w:t>
      </w:r>
    </w:p>
    <w:p>
      <w:pPr>
        <w:spacing w:after="200"/>
      </w:pPr>
      <w:r>
        <w:rPr>
          <w:rFonts w:ascii="Arial" w:hAnsi="Arial"/>
          <w:color w:val="586069"/>
          <w:sz w:val="17"/>
        </w:rPr>
        <w:t>Familienrecht | Rüttenscheider Straße 118 | 45131 Essen | Telefon 0201 440870</w:t>
      </w:r>
    </w:p>
    <w:p>
      <w:pPr>
        <w:spacing w:after="160"/>
      </w:pPr>
      <w:r>
        <w:t>Amtsgericht Essen - Familiengericht</w:t>
      </w:r>
    </w:p>
    <w:p>
      <w:pPr>
        <w:spacing w:after="80"/>
      </w:pPr>
      <w:r>
        <w:rPr>
          <w:rFonts w:ascii="Arial" w:hAnsi="Arial"/>
          <w:color w:val="586069"/>
          <w:sz w:val="18"/>
        </w:rPr>
        <w:t>Datum: 25.06.2026  |  Zeichen: YB/26-418 DA</w:t>
      </w:r>
    </w:p>
    <w:p>
      <w:pPr>
        <w:pStyle w:val="Title"/>
      </w:pPr>
      <w:r>
        <w:t>Aydin ./. Aydin - einstweilige Regelung</w:t>
      </w:r>
    </w:p>
    <w:p>
      <w:pPr>
        <w:jc w:val="both"/>
      </w:pPr>
      <w:r>
        <w:t>Namens und in Vollmacht der Antragstellerin wird um kurzfristige gerichtliche Regelung gebeten. Der Entwurf verbindet keine abschließende Tatsachenfeststellung mit der Eilbedürftigkeit; die widerstreitenden Darstellungen werden offengelegt.</w:t>
      </w:r>
    </w:p>
    <w:p>
      <w:pPr>
        <w:pStyle w:val="Heading1"/>
      </w:pPr>
      <w:r>
        <w:t>1. Schutzanordnung</w:t>
      </w:r>
    </w:p>
    <w:p>
      <w:pPr>
        <w:jc w:val="both"/>
      </w:pPr>
      <w:r>
        <w:t>Beantragt wird, dem Antragsgegner befristet zu untersagen, die Wohnung und den unmittelbar bezeichneten Eingangsbereich aufzusuchen, Kontakt außerhalb der Eltern-App aufzunehmen und sich der Antragstellerin gezielt zu nähern. Ausgenommen werden gerichtlich oder über die Beratungsstelle koordinierte Kinderübergaben. Reichweite und Dauer sind im Tenor räumlich und zeitlich eindeutig zu bestimmen.</w:t>
      </w:r>
    </w:p>
    <w:p>
      <w:pPr>
        <w:pStyle w:val="Heading1"/>
      </w:pPr>
      <w:r>
        <w:t>2. Wohnungsnutzung</w:t>
      </w:r>
    </w:p>
    <w:p>
      <w:pPr>
        <w:jc w:val="both"/>
      </w:pPr>
      <w:r>
        <w:t>Die Ehewohnung wird von den Kindern als Lebensmittelpunkt genutzt. Der Antragsgegner hält sich derzeit anderweitig auf. Persönliche Gegenstände sollen einmalig in Begleitung abgeholt werden. Miet- und Nebenkostenzahlungen sowie mögliche Nutzungsvergütung bleiben einer gesonderten Klärung vorbehalten.</w:t>
      </w:r>
    </w:p>
    <w:p>
      <w:pPr>
        <w:pStyle w:val="Heading1"/>
      </w:pPr>
      <w:r>
        <w:t>3. Umgang</w:t>
      </w:r>
    </w:p>
    <w:p>
      <w:pPr>
        <w:jc w:val="both"/>
      </w:pPr>
      <w:r>
        <w:t>Für vier Wochen wird ein stufenweises Modell vorgeschlagen: zunächst zwei begleitete Kontakte, danach Tagesumgang bei beanstandungsfreiem Verlauf. Übergaben erfolgen an der Beratungsstelle oder über die Schule. Telefonkontakte finden zu festen Zeiten statt. Die Kinder werden nicht als Boten eingesetzt.</w:t>
      </w:r>
    </w:p>
    <w:p>
      <w:pPr>
        <w:pStyle w:val="Heading1"/>
      </w:pPr>
      <w:r>
        <w:t>4. Anhörung und Aufklärung</w:t>
      </w:r>
    </w:p>
    <w:p>
      <w:pPr>
        <w:jc w:val="both"/>
      </w:pPr>
      <w:r>
        <w:t>Es wird angeregt, Jugendamt und Verfahrensbeistand einzubeziehen und beide Kinder altersangemessen persönlich anzuhören. Der Polizeivorgang, die Notrufdokumentation, Schulnotiz, Fotos und ärztlicher Befund sollen beigezogen werden. Die Anhörung soll Schutzbedarf und Beziehungserhalt getrennt erfassen.</w:t>
      </w:r>
    </w:p>
    <w:p>
      <w:pPr>
        <w:pStyle w:val="Heading1"/>
      </w:pPr>
      <w:r>
        <w:t>5. Glaubhaftmachung</w:t>
      </w:r>
    </w:p>
    <w:p>
      <w:pPr>
        <w:jc w:val="both"/>
      </w:pPr>
      <w:r>
        <w:t>Beigefügt werden eidesstattliche Versicherung Derya Aydin, Einsatzbericht, Fotoblatt, Befundbericht und Schulvermerk. Die abweichende Darstellung des Antragsgegners aus dem Schreiben vom 23. Juni wird ausdrücklich mitgeteilt.</w:t>
      </w:r>
    </w:p>
    <w:p>
      <w:pPr>
        <w:jc w:val="both"/>
      </w:pPr>
      <w:r>
        <w:t>Ayla Yilmaz Rechtsanwältin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Yilmaz &amp; Becker  |  YB/26-418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Aydin ./. Aydin - einstweilige Regelung</dc:title>
  <dc:subject>YB/26-418 DA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