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JUGENDAMTSVERMERK</w:t>
      </w:r>
    </w:p>
    <w:p>
      <w:pPr>
        <w:spacing w:after="40"/>
      </w:pPr>
      <w:r>
        <w:rPr>
          <w:rFonts w:ascii="Arial" w:hAnsi="Arial"/>
          <w:b/>
          <w:sz w:val="25"/>
        </w:rPr>
        <w:t>Stadt Essen - Jugendamt</w:t>
      </w:r>
    </w:p>
    <w:p>
      <w:pPr>
        <w:spacing w:after="200"/>
      </w:pPr>
      <w:r>
        <w:rPr>
          <w:rFonts w:ascii="Arial" w:hAnsi="Arial"/>
          <w:color w:val="586069"/>
          <w:sz w:val="17"/>
        </w:rPr>
        <w:t>Allgemeiner Sozialer Dienst Süd | Ruhrallee 175 | 45136 Essen</w:t>
      </w:r>
    </w:p>
    <w:p>
      <w:pPr>
        <w:spacing w:after="160"/>
      </w:pPr>
      <w:r>
        <w:t>Familiengericht Essen und Eltern Aydin</w:t>
      </w:r>
    </w:p>
    <w:p>
      <w:pPr>
        <w:spacing w:after="80"/>
      </w:pPr>
      <w:r>
        <w:rPr>
          <w:rFonts w:ascii="Arial" w:hAnsi="Arial"/>
          <w:color w:val="586069"/>
          <w:sz w:val="18"/>
        </w:rPr>
        <w:t>Datum: 27.06.2026  |  Zeichen: ASD-S/26-1487</w:t>
      </w:r>
    </w:p>
    <w:p>
      <w:pPr>
        <w:pStyle w:val="Title"/>
      </w:pPr>
      <w:r>
        <w:t>Vermerk über Hausbesuch und vorläufige Hilfeplanung</w:t>
      </w:r>
    </w:p>
    <w:p>
      <w:pPr>
        <w:jc w:val="both"/>
      </w:pPr>
      <w:r>
        <w:t>Am 26. Juni fanden getrennte Gespräche mit beiden Eltern und ein Hausbesuch in der Ehewohnung statt. Die Kinder wurden kurz in Anwesenheit einer Fachkraft gesprochen; eine familiengerichtliche Anhörung wird dadurch nicht ersetzt.</w:t>
      </w:r>
    </w:p>
    <w:p>
      <w:pPr>
        <w:pStyle w:val="Heading1"/>
      </w:pPr>
      <w:r>
        <w:t>1. Wohn- und Versorgungslage</w:t>
      </w:r>
    </w:p>
    <w:p>
      <w:pPr>
        <w:jc w:val="both"/>
      </w:pPr>
      <w:r>
        <w:t>Die Wohnung ist für beide Kinder eingerichtet. Die beschädigte Türzarge ist sichtbar, die Tür schließt jedoch. Lebensmittel und Schulmaterial sind vorhanden. Derya wirkt erschöpft, kann Tagesablauf und Betreuung aber geordnet beschreiben. Cem wohnt vorläufig bei einem Arbeitskollegen und verfügt dort nicht über geeignete Übernachtungsmöglichkeiten für beide Kinder.</w:t>
      </w:r>
    </w:p>
    <w:p>
      <w:pPr>
        <w:pStyle w:val="Heading1"/>
      </w:pPr>
      <w:r>
        <w:t>2. Gespräche mit den Kindern</w:t>
      </w:r>
    </w:p>
    <w:p>
      <w:pPr>
        <w:jc w:val="both"/>
      </w:pPr>
      <w:r>
        <w:t>Leila äußerte den Wunsch nach Ruhe, festen Abholzeiten und Kontakt zum Vater außerhalb der Wohnung. Sie wollte nicht über Schuld sprechen. Emir fragte, wann er wieder mit dem Vater Fußball spielen könne, und sagte zugleich, er möge kein Schreien. Beide Kinder zeigten keine sichtbaren Verletzungen.</w:t>
      </w:r>
    </w:p>
    <w:p>
      <w:pPr>
        <w:pStyle w:val="Heading1"/>
      </w:pPr>
      <w:r>
        <w:t>3. Einschätzung</w:t>
      </w:r>
    </w:p>
    <w:p>
      <w:pPr>
        <w:jc w:val="both"/>
      </w:pPr>
      <w:r>
        <w:t>Der Konflikt der Eltern belastet die Kinder deutlich. Für eine Aussage zu Gewaltgeschehen und längerfristiger Umgangsgestaltung reichen die bisherigen Gespräche nicht aus. Kurzfristig erscheinen klare Kommunikationswege, neutrale Übergaben und ein Verbot der Instrumentalisierung der Kinder erforderlich. Eine vollständige Kontaktsperre zum Vater wird aus den bisherigen Beobachtungen nicht empfohlen; Schutzauflagen bleiben zu beachten.</w:t>
      </w:r>
    </w:p>
    <w:p>
      <w:pPr>
        <w:pStyle w:val="Heading1"/>
      </w:pPr>
      <w:r>
        <w:t>4. Vorläufiger Plan</w:t>
      </w:r>
    </w:p>
    <w:tbl>
      <w:tblPr>
        <w:tblStyle w:val="TableGrid"/>
        <w:tblW w:type="dxa" w:w="9600"/>
        <w:tblLayout w:type="fixed"/>
        <w:tblLook w:firstColumn="1" w:firstRow="1" w:lastColumn="0" w:lastRow="0" w:noHBand="0" w:noVBand="1" w:val="04A0"/>
        <w:tblInd w:w="120" w:type="dxa"/>
      </w:tblPr>
      <w:tblGrid>
        <w:gridCol w:w="4200"/>
        <w:gridCol w:w="2800"/>
        <w:gridCol w:w="2600"/>
      </w:tblGrid>
      <w:tr>
        <w:trPr>
          <w:tblHeader w:val="true"/>
        </w:trPr>
        <w:tc>
          <w:tcPr>
            <w:tcW w:type="dxa" w:w="4200"/>
            <w:vAlign w:val="center"/>
            <w:shd w:fill="DCE6F1"/>
            <w:tcMar>
              <w:top w:w="90" w:type="dxa"/>
              <w:start w:w="120" w:type="dxa"/>
              <w:bottom w:w="90" w:type="dxa"/>
              <w:end w:w="120" w:type="dxa"/>
            </w:tcMar>
          </w:tcPr>
          <w:p>
            <w:pPr>
              <w:spacing w:after="0"/>
            </w:pPr>
            <w:r>
              <w:rPr>
                <w:rFonts w:ascii="Arial" w:hAnsi="Arial"/>
                <w:b/>
                <w:sz w:val="18"/>
              </w:rPr>
              <w:t>Maßnahme</w:t>
            </w:r>
          </w:p>
        </w:tc>
        <w:tc>
          <w:tcPr>
            <w:tcW w:type="dxa" w:w="2800"/>
            <w:vAlign w:val="center"/>
            <w:shd w:fill="DCE6F1"/>
            <w:tcMar>
              <w:top w:w="90" w:type="dxa"/>
              <w:start w:w="120" w:type="dxa"/>
              <w:bottom w:w="90" w:type="dxa"/>
              <w:end w:w="120" w:type="dxa"/>
            </w:tcMar>
          </w:tcPr>
          <w:p>
            <w:pPr>
              <w:spacing w:after="0"/>
            </w:pPr>
            <w:r>
              <w:rPr>
                <w:rFonts w:ascii="Arial" w:hAnsi="Arial"/>
                <w:b/>
                <w:sz w:val="18"/>
              </w:rPr>
              <w:t>Verantwortlich</w:t>
            </w:r>
          </w:p>
        </w:tc>
        <w:tc>
          <w:tcPr>
            <w:tcW w:type="dxa" w:w="2600"/>
            <w:vAlign w:val="center"/>
            <w:shd w:fill="DCE6F1"/>
            <w:tcMar>
              <w:top w:w="90" w:type="dxa"/>
              <w:start w:w="120" w:type="dxa"/>
              <w:bottom w:w="90" w:type="dxa"/>
              <w:end w:w="120" w:type="dxa"/>
            </w:tcMar>
          </w:tcPr>
          <w:p>
            <w:pPr>
              <w:spacing w:after="0"/>
            </w:pPr>
            <w:r>
              <w:rPr>
                <w:rFonts w:ascii="Arial" w:hAnsi="Arial"/>
                <w:b/>
                <w:sz w:val="18"/>
              </w:rPr>
              <w:t>Termin</w:t>
            </w:r>
          </w:p>
        </w:tc>
      </w:tr>
      <w:tr>
        <w:tc>
          <w:tcPr>
            <w:tcW w:type="dxa" w:w="4200"/>
            <w:vAlign w:val="center"/>
            <w:tcMar>
              <w:top w:w="90" w:type="dxa"/>
              <w:start w:w="120" w:type="dxa"/>
              <w:bottom w:w="90" w:type="dxa"/>
              <w:end w:w="120" w:type="dxa"/>
            </w:tcMar>
          </w:tcPr>
          <w:p>
            <w:pPr>
              <w:spacing w:after="0" w:line="259" w:lineRule="auto"/>
            </w:pPr>
            <w:r>
              <w:rPr>
                <w:rFonts w:ascii="Arial" w:hAnsi="Arial"/>
                <w:sz w:val="17"/>
              </w:rPr>
              <w:t>Getrennte Elternberatung</w:t>
            </w:r>
          </w:p>
        </w:tc>
        <w:tc>
          <w:tcPr>
            <w:tcW w:type="dxa" w:w="2800"/>
            <w:vAlign w:val="center"/>
            <w:tcMar>
              <w:top w:w="90" w:type="dxa"/>
              <w:start w:w="120" w:type="dxa"/>
              <w:bottom w:w="90" w:type="dxa"/>
              <w:end w:w="120" w:type="dxa"/>
            </w:tcMar>
          </w:tcPr>
          <w:p>
            <w:pPr>
              <w:spacing w:after="0" w:line="259" w:lineRule="auto"/>
            </w:pPr>
            <w:r>
              <w:rPr>
                <w:rFonts w:ascii="Arial" w:hAnsi="Arial"/>
                <w:sz w:val="17"/>
              </w:rPr>
              <w:t>Beratungsstelle Süd</w:t>
            </w:r>
          </w:p>
        </w:tc>
        <w:tc>
          <w:tcPr>
            <w:tcW w:type="dxa" w:w="2600"/>
            <w:vAlign w:val="center"/>
            <w:tcMar>
              <w:top w:w="90" w:type="dxa"/>
              <w:start w:w="120" w:type="dxa"/>
              <w:bottom w:w="90" w:type="dxa"/>
              <w:end w:w="120" w:type="dxa"/>
            </w:tcMar>
          </w:tcPr>
          <w:p>
            <w:pPr>
              <w:spacing w:after="0" w:line="259" w:lineRule="auto"/>
            </w:pPr>
            <w:r>
              <w:rPr>
                <w:rFonts w:ascii="Arial" w:hAnsi="Arial"/>
                <w:sz w:val="17"/>
              </w:rPr>
              <w:t>30.06. und 02.07.2026</w:t>
            </w:r>
          </w:p>
        </w:tc>
      </w:tr>
      <w:tr>
        <w:tc>
          <w:tcPr>
            <w:tcW w:type="dxa" w:w="4200"/>
            <w:vAlign w:val="center"/>
            <w:shd w:fill="F2F4F7"/>
            <w:tcMar>
              <w:top w:w="90" w:type="dxa"/>
              <w:start w:w="120" w:type="dxa"/>
              <w:bottom w:w="90" w:type="dxa"/>
              <w:end w:w="120" w:type="dxa"/>
            </w:tcMar>
          </w:tcPr>
          <w:p>
            <w:pPr>
              <w:spacing w:after="0" w:line="259" w:lineRule="auto"/>
            </w:pPr>
            <w:r>
              <w:rPr>
                <w:rFonts w:ascii="Arial" w:hAnsi="Arial"/>
                <w:sz w:val="17"/>
              </w:rPr>
              <w:t>Begleitete Übergabe</w:t>
            </w:r>
          </w:p>
        </w:tc>
        <w:tc>
          <w:tcPr>
            <w:tcW w:type="dxa" w:w="2800"/>
            <w:vAlign w:val="center"/>
            <w:shd w:fill="F2F4F7"/>
            <w:tcMar>
              <w:top w:w="90" w:type="dxa"/>
              <w:start w:w="120" w:type="dxa"/>
              <w:bottom w:w="90" w:type="dxa"/>
              <w:end w:w="120" w:type="dxa"/>
            </w:tcMar>
          </w:tcPr>
          <w:p>
            <w:pPr>
              <w:spacing w:after="0" w:line="259" w:lineRule="auto"/>
            </w:pPr>
            <w:r>
              <w:rPr>
                <w:rFonts w:ascii="Arial" w:hAnsi="Arial"/>
                <w:sz w:val="17"/>
              </w:rPr>
              <w:t>Umgangsbegleitung</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04.07.2026</w:t>
            </w:r>
          </w:p>
        </w:tc>
      </w:tr>
      <w:tr>
        <w:tc>
          <w:tcPr>
            <w:tcW w:type="dxa" w:w="4200"/>
            <w:vAlign w:val="center"/>
            <w:tcMar>
              <w:top w:w="90" w:type="dxa"/>
              <w:start w:w="120" w:type="dxa"/>
              <w:bottom w:w="90" w:type="dxa"/>
              <w:end w:w="120" w:type="dxa"/>
            </w:tcMar>
          </w:tcPr>
          <w:p>
            <w:pPr>
              <w:spacing w:after="0" w:line="259" w:lineRule="auto"/>
            </w:pPr>
            <w:r>
              <w:rPr>
                <w:rFonts w:ascii="Arial" w:hAnsi="Arial"/>
                <w:sz w:val="17"/>
              </w:rPr>
              <w:t>Schriftlicher Abholplan</w:t>
            </w:r>
          </w:p>
        </w:tc>
        <w:tc>
          <w:tcPr>
            <w:tcW w:type="dxa" w:w="2800"/>
            <w:vAlign w:val="center"/>
            <w:tcMar>
              <w:top w:w="90" w:type="dxa"/>
              <w:start w:w="120" w:type="dxa"/>
              <w:bottom w:w="90" w:type="dxa"/>
              <w:end w:w="120" w:type="dxa"/>
            </w:tcMar>
          </w:tcPr>
          <w:p>
            <w:pPr>
              <w:spacing w:after="0" w:line="259" w:lineRule="auto"/>
            </w:pPr>
            <w:r>
              <w:rPr>
                <w:rFonts w:ascii="Arial" w:hAnsi="Arial"/>
                <w:sz w:val="17"/>
              </w:rPr>
              <w:t>Eltern über Bevollmächtigte</w:t>
            </w:r>
          </w:p>
        </w:tc>
        <w:tc>
          <w:tcPr>
            <w:tcW w:type="dxa" w:w="2600"/>
            <w:vAlign w:val="center"/>
            <w:tcMar>
              <w:top w:w="90" w:type="dxa"/>
              <w:start w:w="120" w:type="dxa"/>
              <w:bottom w:w="90" w:type="dxa"/>
              <w:end w:w="120" w:type="dxa"/>
            </w:tcMar>
          </w:tcPr>
          <w:p>
            <w:pPr>
              <w:spacing w:after="0" w:line="259" w:lineRule="auto"/>
            </w:pPr>
            <w:r>
              <w:rPr>
                <w:rFonts w:ascii="Arial" w:hAnsi="Arial"/>
                <w:sz w:val="17"/>
              </w:rPr>
              <w:t>bis 01.07.2026</w:t>
            </w:r>
          </w:p>
        </w:tc>
      </w:tr>
      <w:tr>
        <w:tc>
          <w:tcPr>
            <w:tcW w:type="dxa" w:w="4200"/>
            <w:vAlign w:val="center"/>
            <w:shd w:fill="F2F4F7"/>
            <w:tcMar>
              <w:top w:w="90" w:type="dxa"/>
              <w:start w:w="120" w:type="dxa"/>
              <w:bottom w:w="90" w:type="dxa"/>
              <w:end w:w="120" w:type="dxa"/>
            </w:tcMar>
          </w:tcPr>
          <w:p>
            <w:pPr>
              <w:spacing w:after="0" w:line="259" w:lineRule="auto"/>
            </w:pPr>
            <w:r>
              <w:rPr>
                <w:rFonts w:ascii="Arial" w:hAnsi="Arial"/>
                <w:sz w:val="17"/>
              </w:rPr>
              <w:t>Rückmeldung Schule</w:t>
            </w:r>
          </w:p>
        </w:tc>
        <w:tc>
          <w:tcPr>
            <w:tcW w:type="dxa" w:w="2800"/>
            <w:vAlign w:val="center"/>
            <w:shd w:fill="F2F4F7"/>
            <w:tcMar>
              <w:top w:w="90" w:type="dxa"/>
              <w:start w:w="120" w:type="dxa"/>
              <w:bottom w:w="90" w:type="dxa"/>
              <w:end w:w="120" w:type="dxa"/>
            </w:tcMar>
          </w:tcPr>
          <w:p>
            <w:pPr>
              <w:spacing w:after="0" w:line="259" w:lineRule="auto"/>
            </w:pPr>
            <w:r>
              <w:rPr>
                <w:rFonts w:ascii="Arial" w:hAnsi="Arial"/>
                <w:sz w:val="17"/>
              </w:rPr>
              <w:t>ASD mit Einwilligung</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03.07.2026</w:t>
            </w:r>
          </w:p>
        </w:tc>
      </w:tr>
      <w:tr>
        <w:tc>
          <w:tcPr>
            <w:tcW w:type="dxa" w:w="4200"/>
            <w:vAlign w:val="center"/>
            <w:tcMar>
              <w:top w:w="90" w:type="dxa"/>
              <w:start w:w="120" w:type="dxa"/>
              <w:bottom w:w="90" w:type="dxa"/>
              <w:end w:w="120" w:type="dxa"/>
            </w:tcMar>
          </w:tcPr>
          <w:p>
            <w:pPr>
              <w:spacing w:after="0" w:line="259" w:lineRule="auto"/>
            </w:pPr>
            <w:r>
              <w:rPr>
                <w:rFonts w:ascii="Arial" w:hAnsi="Arial"/>
                <w:sz w:val="17"/>
              </w:rPr>
              <w:t>Überprüfung Hilfeplan</w:t>
            </w:r>
          </w:p>
        </w:tc>
        <w:tc>
          <w:tcPr>
            <w:tcW w:type="dxa" w:w="2800"/>
            <w:vAlign w:val="center"/>
            <w:tcMar>
              <w:top w:w="90" w:type="dxa"/>
              <w:start w:w="120" w:type="dxa"/>
              <w:bottom w:w="90" w:type="dxa"/>
              <w:end w:w="120" w:type="dxa"/>
            </w:tcMar>
          </w:tcPr>
          <w:p>
            <w:pPr>
              <w:spacing w:after="0" w:line="259" w:lineRule="auto"/>
            </w:pPr>
            <w:r>
              <w:rPr>
                <w:rFonts w:ascii="Arial" w:hAnsi="Arial"/>
                <w:sz w:val="17"/>
              </w:rPr>
              <w:t>ASD</w:t>
            </w:r>
          </w:p>
        </w:tc>
        <w:tc>
          <w:tcPr>
            <w:tcW w:type="dxa" w:w="2600"/>
            <w:vAlign w:val="center"/>
            <w:tcMar>
              <w:top w:w="90" w:type="dxa"/>
              <w:start w:w="120" w:type="dxa"/>
              <w:bottom w:w="90" w:type="dxa"/>
              <w:end w:w="120" w:type="dxa"/>
            </w:tcMar>
          </w:tcPr>
          <w:p>
            <w:pPr>
              <w:spacing w:after="0" w:line="259" w:lineRule="auto"/>
            </w:pPr>
            <w:r>
              <w:rPr>
                <w:rFonts w:ascii="Arial" w:hAnsi="Arial"/>
                <w:sz w:val="17"/>
              </w:rPr>
              <w:t>15.07.2026</w:t>
            </w:r>
          </w:p>
        </w:tc>
      </w:tr>
    </w:tbl>
    <w:p>
      <w:pPr>
        <w:spacing w:after="0"/>
      </w:pPr>
    </w:p>
    <w:p>
      <w:pPr>
        <w:jc w:val="both"/>
      </w:pPr>
      <w:r>
        <w:t>Maren Vogt Diplom-Sozialpädagogin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Stadt Essen - Jugendamt  |  ASD-S/26-1487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über Hausbesuch und vorläufige Hilfeplanung</dc:title>
  <dc:subject>ASD-S/26-1487</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