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color w:val="17365D"/>
          <w:sz w:val="17"/>
        </w:rPr>
        <w:t>KANZLEIVERMERK</w:t>
      </w:r>
    </w:p>
    <w:p>
      <w:pPr>
        <w:spacing w:after="40"/>
      </w:pPr>
      <w:r>
        <w:rPr>
          <w:rFonts w:ascii="Arial" w:hAnsi="Arial"/>
          <w:b/>
          <w:sz w:val="25"/>
        </w:rPr>
        <w:t>Kanzlei Förde Familienrecht</w:t>
      </w:r>
    </w:p>
    <w:p>
      <w:pPr>
        <w:spacing w:after="200"/>
      </w:pPr>
      <w:r>
        <w:rPr>
          <w:rFonts w:ascii="Arial" w:hAnsi="Arial"/>
          <w:color w:val="586069"/>
          <w:sz w:val="17"/>
        </w:rPr>
        <w:t>Sophienblatt 46 | 24114 Kiel | Telefon 0431 908620</w:t>
      </w:r>
    </w:p>
    <w:p>
      <w:pPr>
        <w:spacing w:after="160"/>
      </w:pPr>
      <w:r>
        <w:t>Intern - elektronische Handakte</w:t>
      </w:r>
    </w:p>
    <w:p>
      <w:pPr>
        <w:spacing w:after="80"/>
      </w:pPr>
      <w:r>
        <w:rPr>
          <w:rFonts w:ascii="Arial" w:hAnsi="Arial"/>
          <w:color w:val="586069"/>
          <w:sz w:val="18"/>
        </w:rPr>
        <w:t>Datum: 03.07.2026  |  Zeichen: FF/26-217 RH</w:t>
      </w:r>
    </w:p>
    <w:p>
      <w:pPr>
        <w:pStyle w:val="Title"/>
      </w:pPr>
      <w:r>
        <w:t>Mandatsnotiz Henning - Betreuung und Kindesunterhalt</w:t>
      </w:r>
    </w:p>
    <w:p>
      <w:pPr>
        <w:jc w:val="both"/>
      </w:pPr>
      <w:r>
        <w:t>Rieke Henning wurde am 3. Juli 2026 beraten. Sie legte Kalenderexporte, Gehaltsabrechnungen, eine Jugendamtsnotiz und Nachrichten mit Malte Henning vor. Die Unterhaltsberechnung wird ausdrücklich erst nach Bereinigung der Einkommens- und Betreuungstatsachen abgeschlossen.</w:t>
      </w:r>
    </w:p>
    <w:p>
      <w:pPr>
        <w:pStyle w:val="Heading1"/>
      </w:pPr>
      <w:r>
        <w:t>1. Familie und Betreuung</w:t>
      </w:r>
    </w:p>
    <w:p>
      <w:pPr>
        <w:jc w:val="both"/>
      </w:pPr>
      <w:r>
        <w:t>Die Eltern trennten sich am 13. Januar 2026 und wohnen 1,2 Kilometer voneinander entfernt. Seit 1. März wird ein 2-2-3-Plan versucht. Nora, zwölf Jahre, übernachtet in den Wochen mit später Musikprobe häufiger beim Vater; Jasper, acht Jahre, bleibt bei Krankheit und an mehreren Schultagen bei der Mutter. Für März bis Juni weichen Kalender, Messenger und tatsächliche Übernachtungen voneinander ab.</w:t>
      </w:r>
    </w:p>
    <w:p>
      <w:pPr>
        <w:pStyle w:val="Heading1"/>
      </w:pPr>
      <w:r>
        <w:t>2. Einkommen</w:t>
      </w:r>
    </w:p>
    <w:p>
      <w:pPr>
        <w:jc w:val="both"/>
      </w:pPr>
      <w:r>
        <w:t>Rieke ist angestellte Projektleiterin und erhielt im März eine variable Jahresprämie von 4.800 Euro brutto. Malte betreibt eine Physiotherapiepraxis mit acht Mitarbeitern. Vorgelegt wurde nur eine BWA Januar bis Mai 2026. Privat- und Praxiskonto sind in einzelnen Buchungen vermischt; Privatentnahmen liegen bei rund 4.100 Euro monatlich. Firmenwagen, Abschreibungen, Darlehen und Altersvorsorge sind zu prüfen.</w:t>
      </w:r>
    </w:p>
    <w:p>
      <w:pPr>
        <w:pStyle w:val="Heading1"/>
      </w:pPr>
      <w:r>
        <w:t>3. Kindesbedarf</w:t>
      </w:r>
    </w:p>
    <w:p>
      <w:pPr>
        <w:jc w:val="both"/>
      </w:pPr>
      <w:r>
        <w:t>Laufend fallen 86 Euro Musikschule für Nora und 142 Euro Hort für Jasper an. Die Klassenfahrt kostet 380 Euro, eine kieferorthopädische Zuzahlung wird mit 1.240 Euro veranschlagt. Wer welche Kosten trägt, ist nicht konsistent dokumentiert. Malte zahlt seit April 520 Euro monatlich und übernimmt einzelne Sachkosten; Rieke hält dies für unzureichend.</w:t>
      </w:r>
    </w:p>
    <w:p>
      <w:pPr>
        <w:pStyle w:val="Heading1"/>
      </w:pPr>
      <w:r>
        <w:t>4. Arbeitsauftrag</w:t>
      </w:r>
    </w:p>
    <w:p>
      <w:pPr>
        <w:jc w:val="both"/>
      </w:pPr>
      <w:r>
        <w:t>Betreuung wird nach Nächten, Tagesbetreuung, Ferien, Krankheit und tatsächlich bedarfsdeckenden Leistungen aufgeschlüsselt. Einkommen wird mehrjährig und nach unterhaltsrechtlicher Relevanz geprüft. Barunterhalt, Mehrbedarf und Ausgleich für konkrete Aufwendungen werden nicht vorschnell saldiert. Ein Vorschlag soll die Kinderlogistik stabilisieren und zugleich eine vorläufige Zahlung sichern.</w:t>
      </w:r>
    </w:p>
    <w:p>
      <w:pPr>
        <w:jc w:val="both"/>
      </w:pPr>
      <w:r>
        <w:t>Bearbeiterin: Rechtsanwältin Svenja Cordes</w:t>
      </w:r>
    </w:p>
    <w:sectPr w:rsidR="00FC693F" w:rsidRPr="0006063C" w:rsidSect="00034616">
      <w:headerReference w:type="default" r:id="rId9"/>
      <w:footerReference w:type="default" r:id="rId10"/>
      <w:pgSz w:w="11906" w:h="16838"/>
      <w:pgMar w:top="1020" w:right="1134" w:bottom="1020" w:left="141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w:hAnsi="Arial"/>
        <w:color w:val="586069"/>
        <w:sz w:val="16"/>
      </w:rPr>
      <w:t xml:space="preserve">Seite </w:t>
    </w:r>
    <w:r>
      <w:rPr>
        <w:rFonts w:ascii="Arial" w:hAnsi="Arial"/>
        <w:color w:val="586069"/>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586069"/>
        <w:sz w:val="16"/>
      </w:rPr>
      <w:t>Kanzlei Förde Familienrecht  |  FF/26-217 RH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76"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17365D"/>
      <w:sz w:val="25"/>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17365D"/>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160"/>
      <w:contextualSpacing/>
    </w:pPr>
    <w:rPr>
      <w:rFonts w:asciiTheme="majorHAnsi" w:eastAsiaTheme="majorEastAsia" w:hAnsiTheme="majorHAnsi" w:cstheme="majorBidi" w:ascii="Arial" w:hAnsi="Arial"/>
      <w:b/>
      <w:color w:val="17365D"/>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Mandatsnotiz Henning - Betreuung und Kindesunterhalt</dc:title>
  <dc:subject>FF/26-217 RH</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