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365D"/>
          <w:sz w:val="17"/>
        </w:rPr>
        <w:t>ARBEITSCHRONOLOGIE</w:t>
      </w:r>
    </w:p>
    <w:p>
      <w:pPr>
        <w:spacing w:after="40"/>
      </w:pPr>
      <w:r>
        <w:rPr>
          <w:rFonts w:ascii="Arial" w:hAnsi="Arial"/>
          <w:b/>
          <w:sz w:val="25"/>
        </w:rPr>
        <w:t>Kanzlei Förde Familienrecht</w:t>
      </w:r>
    </w:p>
    <w:p>
      <w:pPr>
        <w:spacing w:after="200"/>
      </w:pPr>
      <w:r>
        <w:rPr>
          <w:rFonts w:ascii="Arial" w:hAnsi="Arial"/>
          <w:color w:val="586069"/>
          <w:sz w:val="17"/>
        </w:rPr>
        <w:t>Sophienblatt 46 | 24114 Kiel | Telefon 0431 908620</w:t>
      </w:r>
    </w:p>
    <w:p>
      <w:pPr>
        <w:spacing w:after="160"/>
      </w:pPr>
      <w:r>
        <w:t>Intern - elektronische Handakte</w:t>
      </w:r>
    </w:p>
    <w:p>
      <w:pPr>
        <w:spacing w:after="80"/>
      </w:pPr>
      <w:r>
        <w:rPr>
          <w:rFonts w:ascii="Arial" w:hAnsi="Arial"/>
          <w:color w:val="586069"/>
          <w:sz w:val="18"/>
        </w:rPr>
        <w:t>Datum: 06.07.2026  |  Zeichen: FF/26-217 RH</w:t>
      </w:r>
    </w:p>
    <w:p>
      <w:pPr>
        <w:pStyle w:val="Title"/>
      </w:pPr>
      <w:r>
        <w:t>Chronologie, Betreuung und Zahlungen</w:t>
      </w:r>
    </w:p>
    <w:p>
      <w:pPr>
        <w:jc w:val="both"/>
      </w:pPr>
      <w:r>
        <w:t>Die Übersicht dient der Tatsachensicherung. Prozentangaben der Eltern werden nicht übernommen, solange Nächte, Ferien, Krankheit und Zusatzbetreuung nicht abgeglichen sind.</w:t>
      </w:r>
    </w:p>
    <w:p>
      <w:pPr>
        <w:pStyle w:val="Heading1"/>
      </w:pPr>
      <w:r>
        <w:t>1. Zeitachse</w:t>
      </w:r>
    </w:p>
    <w:tbl>
      <w:tblPr>
        <w:tblStyle w:val="TableGrid"/>
        <w:tblW w:type="dxa" w:w="960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900"/>
        <w:gridCol w:w="2500"/>
        <w:gridCol w:w="2700"/>
      </w:tblGrid>
      <w:tr>
        <w:trPr>
          <w:tblHeader w:val="true"/>
        </w:trPr>
        <w:tc>
          <w:tcPr>
            <w:tcW w:type="dxa" w:w="1500"/>
            <w:vAlign w:val="center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Datum</w:t>
            </w:r>
          </w:p>
        </w:tc>
        <w:tc>
          <w:tcPr>
            <w:tcW w:type="dxa" w:w="2900"/>
            <w:vAlign w:val="center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Vorgang</w:t>
            </w:r>
          </w:p>
        </w:tc>
        <w:tc>
          <w:tcPr>
            <w:tcW w:type="dxa" w:w="2500"/>
            <w:vAlign w:val="center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Quelle</w:t>
            </w:r>
          </w:p>
        </w:tc>
        <w:tc>
          <w:tcPr>
            <w:tcW w:type="dxa" w:w="2700"/>
            <w:vAlign w:val="center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Prüfpunkt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13.01.2026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Trennung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gemeinsame Mail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unstreitig</w:t>
            </w:r>
          </w:p>
        </w:tc>
      </w:tr>
      <w:tr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01.03.2026</w:t>
            </w:r>
          </w:p>
        </w:tc>
        <w:tc>
          <w:tcPr>
            <w:tcW w:type="dxa" w:w="2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Beginn 2-2-3-Plan</w:t>
            </w:r>
          </w:p>
        </w:tc>
        <w:tc>
          <w:tcPr>
            <w:tcW w:type="dxa" w:w="2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Elternkalender</w:t>
            </w:r>
          </w:p>
        </w:tc>
        <w:tc>
          <w:tcPr>
            <w:tcW w:type="dxa" w:w="2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tatsächliche Abweichungen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18.03.2026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Bonus Rieke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Gehaltsabrechnung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Zwölfmonatsbezug</w:t>
            </w:r>
          </w:p>
        </w:tc>
      </w:tr>
      <w:tr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18.04.2026</w:t>
            </w:r>
          </w:p>
        </w:tc>
        <w:tc>
          <w:tcPr>
            <w:tcW w:type="dxa" w:w="2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Umsatzrückgang Praxis</w:t>
            </w:r>
          </w:p>
        </w:tc>
        <w:tc>
          <w:tcPr>
            <w:tcW w:type="dxa" w:w="2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BWA</w:t>
            </w:r>
          </w:p>
        </w:tc>
        <w:tc>
          <w:tcPr>
            <w:tcW w:type="dxa" w:w="2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Mehrjahresvergleich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02.05.2026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Klassenfahrt bezahlt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Konto Rieke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Sonder- oder Mehrbedarf</w:t>
            </w:r>
          </w:p>
        </w:tc>
      </w:tr>
      <w:tr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22.05.2026</w:t>
            </w:r>
          </w:p>
        </w:tc>
        <w:tc>
          <w:tcPr>
            <w:tcW w:type="dxa" w:w="2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KFO-Plan</w:t>
            </w:r>
          </w:p>
        </w:tc>
        <w:tc>
          <w:tcPr>
            <w:tcW w:type="dxa" w:w="2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Heil- und Kostenplan</w:t>
            </w:r>
          </w:p>
        </w:tc>
        <w:tc>
          <w:tcPr>
            <w:tcW w:type="dxa" w:w="2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Kassenanteil offen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10.06.2026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Jugendamtgespräch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Vermerk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Kinder nicht förmlich angehört</w:t>
            </w:r>
          </w:p>
        </w:tc>
      </w:tr>
      <w:tr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30.06.2026</w:t>
            </w:r>
          </w:p>
        </w:tc>
        <w:tc>
          <w:tcPr>
            <w:tcW w:type="dxa" w:w="2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Kalenderabgleich endet</w:t>
            </w:r>
          </w:p>
        </w:tc>
        <w:tc>
          <w:tcPr>
            <w:tcW w:type="dxa" w:w="2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Export beider Eltern</w:t>
            </w:r>
          </w:p>
        </w:tc>
        <w:tc>
          <w:tcPr>
            <w:tcW w:type="dxa" w:w="2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elf widersprüchliche Nächte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02.07.2026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Auskunftsaufforderung vorbereitet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Entwurf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Zugang und Frist</w:t>
            </w:r>
          </w:p>
        </w:tc>
      </w:tr>
    </w:tbl>
    <w:p>
      <w:pPr>
        <w:spacing w:after="0"/>
      </w:pPr>
    </w:p>
    <w:p>
      <w:pPr>
        <w:pStyle w:val="Heading1"/>
      </w:pPr>
      <w:r>
        <w:t>2. Zahlungsübersicht</w:t>
      </w:r>
    </w:p>
    <w:tbl>
      <w:tblPr>
        <w:tblStyle w:val="TableGrid"/>
        <w:tblW w:type="dxa" w:w="960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200"/>
        <w:gridCol w:w="2400"/>
        <w:gridCol w:w="3100"/>
      </w:tblGrid>
      <w:tr>
        <w:trPr>
          <w:tblHeader w:val="true"/>
        </w:trPr>
        <w:tc>
          <w:tcPr>
            <w:tcW w:type="dxa" w:w="1900"/>
            <w:vAlign w:val="center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Monat</w:t>
            </w:r>
          </w:p>
        </w:tc>
        <w:tc>
          <w:tcPr>
            <w:tcW w:type="dxa" w:w="2200"/>
            <w:vAlign w:val="center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Zahlung Malte</w:t>
            </w:r>
          </w:p>
        </w:tc>
        <w:tc>
          <w:tcPr>
            <w:tcW w:type="dxa" w:w="2400"/>
            <w:vAlign w:val="center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Sachkosten Malte</w:t>
            </w:r>
          </w:p>
        </w:tc>
        <w:tc>
          <w:tcPr>
            <w:tcW w:type="dxa" w:w="3100"/>
            <w:vAlign w:val="center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Bemerkung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März 2026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780 EUR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86 EUR Musikschule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Betreuungsplan startet</w:t>
            </w:r>
          </w:p>
        </w:tc>
      </w:tr>
      <w:tr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April 2026</w:t>
            </w:r>
          </w:p>
        </w:tc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520 EUR</w:t>
            </w:r>
          </w:p>
        </w:tc>
        <w:tc>
          <w:tcPr>
            <w:tcW w:type="dxa" w:w="2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142 EUR Hort</w:t>
            </w:r>
          </w:p>
        </w:tc>
        <w:tc>
          <w:tcPr>
            <w:tcW w:type="dxa" w:w="3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Rieke bestreitet Anrechnung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Mai 2026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520 EUR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190 EUR Klassenfahrt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zweite Hälfte offen</w:t>
            </w:r>
          </w:p>
        </w:tc>
      </w:tr>
      <w:tr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Juni 2026</w:t>
            </w:r>
          </w:p>
        </w:tc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520 EUR</w:t>
            </w:r>
          </w:p>
        </w:tc>
        <w:tc>
          <w:tcPr>
            <w:tcW w:type="dxa" w:w="2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0 EUR</w:t>
            </w:r>
          </w:p>
        </w:tc>
        <w:tc>
          <w:tcPr>
            <w:tcW w:type="dxa" w:w="3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KFO noch nicht bezahlt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41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color w:val="586069"/>
        <w:sz w:val="16"/>
      </w:rPr>
      <w:t xml:space="preserve">Seite </w:t>
    </w:r>
    <w:r>
      <w:rPr>
        <w:rFonts w:ascii="Arial" w:hAnsi="Arial"/>
        <w:color w:val="586069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color w:val="586069"/>
        <w:sz w:val="16"/>
      </w:rPr>
      <w:t>Kanzlei Förde Familienrecht  |  FF/26-217 RH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Chronologie, Betreuung und Zahlungen</dc:title>
  <dc:subject>FF/26-217 RH</dc:subject>
  <dc:creator>Klotzkette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