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PERSÖNLICHE ERKLÄRUNG</w:t>
      </w:r>
    </w:p>
    <w:p>
      <w:pPr>
        <w:spacing w:after="40"/>
      </w:pPr>
      <w:r>
        <w:rPr>
          <w:rFonts w:ascii="Arial" w:hAnsi="Arial"/>
          <w:b/>
          <w:sz w:val="25"/>
        </w:rPr>
        <w:t>Rieke Henning</w:t>
      </w:r>
    </w:p>
    <w:p>
      <w:pPr>
        <w:spacing w:after="200"/>
      </w:pPr>
      <w:r>
        <w:rPr>
          <w:rFonts w:ascii="Arial" w:hAnsi="Arial"/>
          <w:color w:val="586069"/>
          <w:sz w:val="17"/>
        </w:rPr>
        <w:t>Holtenauer Straße 218 | 24105 Kiel</w:t>
      </w:r>
    </w:p>
    <w:p>
      <w:pPr>
        <w:spacing w:after="160"/>
      </w:pPr>
      <w:r>
        <w:t>Kanzlei Förde Familienrecht</w:t>
      </w:r>
    </w:p>
    <w:p>
      <w:pPr>
        <w:spacing w:after="80"/>
      </w:pPr>
      <w:r>
        <w:rPr>
          <w:rFonts w:ascii="Arial" w:hAnsi="Arial"/>
          <w:color w:val="586069"/>
          <w:sz w:val="18"/>
        </w:rPr>
        <w:t>Datum: 04.07.2026  |  Zeichen: Persönliche Erklärung</w:t>
      </w:r>
    </w:p>
    <w:p>
      <w:pPr>
        <w:pStyle w:val="Title"/>
      </w:pPr>
      <w:r>
        <w:t>Erklärung zu Betreuung und Kinderkosten</w:t>
      </w:r>
    </w:p>
    <w:p>
      <w:pPr>
        <w:jc w:val="both"/>
      </w:pPr>
      <w:r>
        <w:t>Ich unterstütze, dass die Kinder regelmäßig bei ihrem Vater sind. Mein Streit mit Malte betrifft nicht den Kontakt, sondern die tatsächliche Verteilung von Alltag, Kosten und Verantwortung.</w:t>
      </w:r>
    </w:p>
    <w:p>
      <w:pPr>
        <w:pStyle w:val="Heading1"/>
      </w:pPr>
      <w:r>
        <w:t>1. Betreuungsalltag</w:t>
      </w:r>
    </w:p>
    <w:p>
      <w:pPr>
        <w:jc w:val="both"/>
      </w:pPr>
      <w:r>
        <w:t>Der schriftliche Plan sieht annähernd gleiche Zeiten vor. In der Praxis bleiben die Kinder an meinen Tagen und zusätzlich bei Krankheit, Elternabenden und mehreren Praxisdiensten Maltes bei mir. Nora übernachtet mittwochs häufiger bei Malte, weil er sie von der Musikschule abholt. Jasper möchte an Schultagen meist in meinem Haushalt bleiben. Ich habe jede Nacht im Kalender dokumentiert und Änderungen mit Nachrichten abgeglichen.</w:t>
      </w:r>
    </w:p>
    <w:p>
      <w:pPr>
        <w:pStyle w:val="Heading1"/>
      </w:pPr>
      <w:r>
        <w:t>2. Kosten</w:t>
      </w:r>
    </w:p>
    <w:p>
      <w:pPr>
        <w:jc w:val="both"/>
      </w:pPr>
      <w:r>
        <w:t>Ich zahle Kleidung, Schulsachen, Handyvertrag Nora, Hort, Klassenfahrt und die laufenden Haushaltskosten. Malte zahlt die Musikschule und hat die Hälfte der Klassenfahrt überwiesen. Er kauft bei sich Lebensmittel und hat Jasper Fußballschuhe gekauft. Mir geht es nicht darum, diese Leistungen zu ignorieren, sondern sie nach Art und Zeitraum richtig einzuordnen.</w:t>
      </w:r>
    </w:p>
    <w:p>
      <w:pPr>
        <w:pStyle w:val="Heading1"/>
      </w:pPr>
      <w:r>
        <w:t>3. Einkommen Malte</w:t>
      </w:r>
    </w:p>
    <w:p>
      <w:pPr>
        <w:jc w:val="both"/>
      </w:pPr>
      <w:r>
        <w:t>Malte sagt, seine Praxis sei seit April im Minus. Gleichzeitig entnimmt er monatlich etwa 4.100 Euro, fährt einen Praxiswagen privat und hat im Mai eine neue Behandlungsliege für sein häusliches Trainingszimmer gekauft. Ich kenne die Buchhaltung nicht und möchte keine falschen Vorwürfe erheben. Es fehlen aber Jahresabschlüsse, Steuerbescheide und eine Trennung zwischen betrieblichen und privaten Zahlungen.</w:t>
      </w:r>
    </w:p>
    <w:p>
      <w:pPr>
        <w:pStyle w:val="Heading1"/>
      </w:pPr>
      <w:r>
        <w:t>4. Ziel</w:t>
      </w:r>
    </w:p>
    <w:p>
      <w:pPr>
        <w:jc w:val="both"/>
      </w:pPr>
      <w:r>
        <w:t>Ich wünsche einen festen Ferien- und Krankheitsplan, eine transparente Kostenliste und eine vorläufige Unterhaltsregelung, die später nach vollständiger Auskunft angepasst werden kann. Die Kinder sollen keine Abrechnungen mitbekommen und nicht entscheiden müssen, welcher Elternteil „mehr“ macht.</w:t>
      </w:r>
    </w:p>
    <w:p>
      <w:pPr>
        <w:jc w:val="both"/>
      </w:pPr>
      <w:r>
        <w:t>Kiel, 4. Juli 2026 Rieke Henning</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Rieke Henning  |  Persönliche Erklärung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 Betreuung und Kinderkosten</dc:title>
  <dc:subject>Persönliche Erklärung</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