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ANWALTSSCHREIBEN</w:t>
      </w:r>
    </w:p>
    <w:p>
      <w:pPr>
        <w:spacing w:after="40"/>
      </w:pPr>
      <w:r>
        <w:rPr>
          <w:rFonts w:ascii="Arial" w:hAnsi="Arial"/>
          <w:b/>
          <w:sz w:val="25"/>
        </w:rPr>
        <w:t>Kanzlei Ostsee Recht</w:t>
      </w:r>
    </w:p>
    <w:p>
      <w:pPr>
        <w:spacing w:after="200"/>
      </w:pPr>
      <w:r>
        <w:rPr>
          <w:rFonts w:ascii="Arial" w:hAnsi="Arial"/>
          <w:color w:val="586069"/>
          <w:sz w:val="17"/>
        </w:rPr>
        <w:t>Familienrecht | Dänische Straße 12 | 24103 Kiel</w:t>
      </w:r>
    </w:p>
    <w:p>
      <w:pPr>
        <w:spacing w:after="160"/>
      </w:pPr>
      <w:r>
        <w:t>Kanzlei Förde Familienrecht</w:t>
      </w:r>
    </w:p>
    <w:p>
      <w:pPr>
        <w:spacing w:after="80"/>
      </w:pPr>
      <w:r>
        <w:rPr>
          <w:rFonts w:ascii="Arial" w:hAnsi="Arial"/>
          <w:color w:val="586069"/>
          <w:sz w:val="18"/>
        </w:rPr>
        <w:t>Datum: 07.07.2026  |  Zeichen: OR/26-511 MH</w:t>
      </w:r>
    </w:p>
    <w:p>
      <w:pPr>
        <w:pStyle w:val="Title"/>
      </w:pPr>
      <w:r>
        <w:t>Henning ./. Henning - Betreuung und Unterhalt</w:t>
      </w:r>
    </w:p>
    <w:p>
      <w:pPr>
        <w:jc w:val="both"/>
      </w:pPr>
      <w:r>
        <w:t>Sehr geehrte Frau Kollegin Cordes, unser Mandant Malte Henning hält an einer annähernd paritätischen Betreuung fest. Er ist bereit, Einkommen und Kinderkosten transparent zu machen, widerspricht aber einer Berechnung, die seine Betreuungs- und Sachleistungen vollständig ausblendet.</w:t>
      </w:r>
    </w:p>
    <w:p>
      <w:pPr>
        <w:pStyle w:val="Heading1"/>
      </w:pPr>
      <w:r>
        <w:t>1. Betreuung</w:t>
      </w:r>
    </w:p>
    <w:p>
      <w:pPr>
        <w:jc w:val="both"/>
      </w:pPr>
      <w:r>
        <w:t>Für März bis Juni weist der Kalender unseres Mandanten 58 von 122 Übernachtungen aus. Hinzu kommen regelmäßige Nachmittage, Musikfahrten und Betreuung während zweier Dienstreisen der Mutter. Krankheitsnächte bei der Mutter werden anerkannt. Die genaue Aufstellung soll gemeinsam bereinigt werden.</w:t>
      </w:r>
    </w:p>
    <w:p>
      <w:pPr>
        <w:pStyle w:val="Heading1"/>
      </w:pPr>
      <w:r>
        <w:t>2. Einkommen</w:t>
      </w:r>
    </w:p>
    <w:p>
      <w:pPr>
        <w:jc w:val="both"/>
      </w:pPr>
      <w:r>
        <w:t>Die Praxis verzeichnete im zweiten Quartal einen Rückgang ärztlicher Verordnungen. Privatentnahmen sind kein identischer Maßstab für Gewinn; sie enthalten Rückzahlung eines Gesellschafterdarlehens und werden teilweise aus Rücklagen finanziert. Unser Mandant wird Jahresabschlüsse 2023 bis 2025, Steuerbescheide und Kontennachweise vorlegen, erwartet aber dieselbe Vollständigkeit zu Bonus, Dienstwagen und Altersvorsorge Frau Hennings.</w:t>
      </w:r>
    </w:p>
    <w:p>
      <w:pPr>
        <w:pStyle w:val="Heading1"/>
      </w:pPr>
      <w:r>
        <w:t>3. Kosten</w:t>
      </w:r>
    </w:p>
    <w:p>
      <w:pPr>
        <w:jc w:val="both"/>
      </w:pPr>
      <w:r>
        <w:t>Malte trägt Musikschule, Sportausrüstung, einen Teil der Klassenfahrt und während seiner Betreuungszeiten sämtliche laufenden Kosten. Bei der kieferorthopädischen Behandlung soll zunächst die Erstattung der Krankenkasse geklärt werden. Eine endgültige Quote vor Vorlage des Heil- und Kostenplans wird abgelehnt.</w:t>
      </w:r>
    </w:p>
    <w:p>
      <w:pPr>
        <w:pStyle w:val="Heading1"/>
      </w:pPr>
      <w:r>
        <w:t>4. Zwischenregelung</w:t>
      </w:r>
    </w:p>
    <w:p>
      <w:pPr>
        <w:jc w:val="both"/>
      </w:pPr>
      <w:r>
        <w:t>Bis zum Abschluss der Auskunft bietet unser Mandant monatlich 650 Euro zuzüglich Musikschule und hälftiger nachgewiesener Mehrbedarfe an. Die Zahlung erfolgt ohne Anerkennung einer endgültigen Verpflichtung. Parallel soll eine Beratungsstelle den Ferien- und Übergabeplan moderieren.</w:t>
      </w:r>
    </w:p>
    <w:p>
      <w:pPr>
        <w:jc w:val="both"/>
      </w:pPr>
      <w:r>
        <w:t>Mit freundlichen kollegialen Grüßen Rechtsanwalt Hendrik Voß</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Kanzlei Ostsee Recht  |  OR/26-511 MH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Henning ./. Henning - Betreuung und Unterhalt</dc:title>
  <dc:subject>OR/26-511 MH</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