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STEUERBERATERLICHE AUFSTELLUNG</w:t>
      </w:r>
    </w:p>
    <w:p>
      <w:pPr>
        <w:spacing w:after="40"/>
      </w:pPr>
      <w:r>
        <w:rPr>
          <w:rFonts w:ascii="Arial" w:hAnsi="Arial"/>
          <w:b/>
          <w:sz w:val="25"/>
        </w:rPr>
        <w:t>Steuerkanzlei Hansen &amp; Reimer</w:t>
      </w:r>
    </w:p>
    <w:p>
      <w:pPr>
        <w:spacing w:after="200"/>
      </w:pPr>
      <w:r>
        <w:rPr>
          <w:rFonts w:ascii="Arial" w:hAnsi="Arial"/>
          <w:color w:val="586069"/>
          <w:sz w:val="17"/>
        </w:rPr>
        <w:t>Knooper Weg 89 | 24116 Kiel</w:t>
      </w:r>
    </w:p>
    <w:p>
      <w:pPr>
        <w:spacing w:after="160"/>
      </w:pPr>
      <w:r>
        <w:t>Malte Henning und Kanzlei Ostsee Recht</w:t>
      </w:r>
    </w:p>
    <w:p>
      <w:pPr>
        <w:spacing w:after="80"/>
      </w:pPr>
      <w:r>
        <w:rPr>
          <w:rFonts w:ascii="Arial" w:hAnsi="Arial"/>
          <w:color w:val="586069"/>
          <w:sz w:val="18"/>
        </w:rPr>
        <w:t>Datum: 01.07.2026  |  Zeichen: HR/PH-2026-44</w:t>
      </w:r>
    </w:p>
    <w:p>
      <w:pPr>
        <w:pStyle w:val="Title"/>
      </w:pPr>
      <w:r>
        <w:t>Vorläufige Einkommens- und Kostenaufstellung</w:t>
      </w:r>
    </w:p>
    <w:p>
      <w:pPr>
        <w:jc w:val="both"/>
      </w:pPr>
      <w:r>
        <w:t>Die Aufstellung basiert auf Buchungen bis 30. Juni 2026 und den Abschlüssen 2023 bis 2025. Sie ist keine unterhaltsrechtliche Berechnung. Private und betriebliche Positionen werden kenntlich gemacht, soweit die Zuordnung noch offen ist.</w:t>
      </w:r>
    </w:p>
    <w:p>
      <w:pPr>
        <w:pStyle w:val="Heading1"/>
      </w:pPr>
      <w:r>
        <w:t>1. Praxiszahlen</w:t>
      </w:r>
    </w:p>
    <w:tbl>
      <w:tblPr>
        <w:tblStyle w:val="TableGrid"/>
        <w:tblW w:type="dxa" w:w="9600"/>
        <w:tblLayout w:type="fixed"/>
        <w:tblLook w:firstColumn="1" w:firstRow="1" w:lastColumn="0" w:lastRow="0" w:noHBand="0" w:noVBand="1" w:val="04A0"/>
        <w:tblInd w:w="120" w:type="dxa"/>
      </w:tblPr>
      <w:tblGrid>
        <w:gridCol w:w="1300"/>
        <w:gridCol w:w="2500"/>
        <w:gridCol w:w="2900"/>
        <w:gridCol w:w="2900"/>
      </w:tblGrid>
      <w:tr>
        <w:trPr>
          <w:tblHeader w:val="true"/>
        </w:trPr>
        <w:tc>
          <w:tcPr>
            <w:tcW w:type="dxa" w:w="1300"/>
            <w:vAlign w:val="center"/>
            <w:shd w:fill="DCE6F1"/>
            <w:tcMar>
              <w:top w:w="90" w:type="dxa"/>
              <w:start w:w="120" w:type="dxa"/>
              <w:bottom w:w="90" w:type="dxa"/>
              <w:end w:w="120" w:type="dxa"/>
            </w:tcMar>
          </w:tcPr>
          <w:p>
            <w:pPr>
              <w:spacing w:after="0"/>
            </w:pPr>
            <w:r>
              <w:rPr>
                <w:rFonts w:ascii="Arial" w:hAnsi="Arial"/>
                <w:b/>
                <w:sz w:val="18"/>
              </w:rPr>
              <w:t>Jahr</w:t>
            </w:r>
          </w:p>
        </w:tc>
        <w:tc>
          <w:tcPr>
            <w:tcW w:type="dxa" w:w="2500"/>
            <w:vAlign w:val="center"/>
            <w:shd w:fill="DCE6F1"/>
            <w:tcMar>
              <w:top w:w="90" w:type="dxa"/>
              <w:start w:w="120" w:type="dxa"/>
              <w:bottom w:w="90" w:type="dxa"/>
              <w:end w:w="120" w:type="dxa"/>
            </w:tcMar>
          </w:tcPr>
          <w:p>
            <w:pPr>
              <w:spacing w:after="0"/>
            </w:pPr>
            <w:r>
              <w:rPr>
                <w:rFonts w:ascii="Arial" w:hAnsi="Arial"/>
                <w:b/>
                <w:sz w:val="18"/>
              </w:rPr>
              <w:t>Umsatz</w:t>
            </w:r>
          </w:p>
        </w:tc>
        <w:tc>
          <w:tcPr>
            <w:tcW w:type="dxa" w:w="2900"/>
            <w:vAlign w:val="center"/>
            <w:shd w:fill="DCE6F1"/>
            <w:tcMar>
              <w:top w:w="90" w:type="dxa"/>
              <w:start w:w="120" w:type="dxa"/>
              <w:bottom w:w="90" w:type="dxa"/>
              <w:end w:w="120" w:type="dxa"/>
            </w:tcMar>
          </w:tcPr>
          <w:p>
            <w:pPr>
              <w:spacing w:after="0"/>
            </w:pPr>
            <w:r>
              <w:rPr>
                <w:rFonts w:ascii="Arial" w:hAnsi="Arial"/>
                <w:b/>
                <w:sz w:val="18"/>
              </w:rPr>
              <w:t>steuerlicher Gewinn</w:t>
            </w:r>
          </w:p>
        </w:tc>
        <w:tc>
          <w:tcPr>
            <w:tcW w:type="dxa" w:w="2900"/>
            <w:vAlign w:val="center"/>
            <w:shd w:fill="DCE6F1"/>
            <w:tcMar>
              <w:top w:w="90" w:type="dxa"/>
              <w:start w:w="120" w:type="dxa"/>
              <w:bottom w:w="90" w:type="dxa"/>
              <w:end w:w="120" w:type="dxa"/>
            </w:tcMar>
          </w:tcPr>
          <w:p>
            <w:pPr>
              <w:spacing w:after="0"/>
            </w:pPr>
            <w:r>
              <w:rPr>
                <w:rFonts w:ascii="Arial" w:hAnsi="Arial"/>
                <w:b/>
                <w:sz w:val="18"/>
              </w:rPr>
              <w:t>Privatentnahmen</w:t>
            </w:r>
          </w:p>
        </w:tc>
      </w:tr>
      <w:tr>
        <w:tc>
          <w:tcPr>
            <w:tcW w:type="dxa" w:w="1300"/>
            <w:vAlign w:val="center"/>
            <w:tcMar>
              <w:top w:w="90" w:type="dxa"/>
              <w:start w:w="120" w:type="dxa"/>
              <w:bottom w:w="90" w:type="dxa"/>
              <w:end w:w="120" w:type="dxa"/>
            </w:tcMar>
          </w:tcPr>
          <w:p>
            <w:pPr>
              <w:spacing w:after="0" w:line="259" w:lineRule="auto"/>
            </w:pPr>
            <w:r>
              <w:rPr>
                <w:rFonts w:ascii="Arial" w:hAnsi="Arial"/>
                <w:sz w:val="17"/>
              </w:rPr>
              <w:t>2023</w:t>
            </w:r>
          </w:p>
        </w:tc>
        <w:tc>
          <w:tcPr>
            <w:tcW w:type="dxa" w:w="2500"/>
            <w:vAlign w:val="center"/>
            <w:tcMar>
              <w:top w:w="90" w:type="dxa"/>
              <w:start w:w="120" w:type="dxa"/>
              <w:bottom w:w="90" w:type="dxa"/>
              <w:end w:w="120" w:type="dxa"/>
            </w:tcMar>
          </w:tcPr>
          <w:p>
            <w:pPr>
              <w:spacing w:after="0" w:line="259" w:lineRule="auto"/>
            </w:pPr>
            <w:r>
              <w:rPr>
                <w:rFonts w:ascii="Arial" w:hAnsi="Arial"/>
                <w:sz w:val="17"/>
              </w:rPr>
              <w:t>684.200 EUR</w:t>
            </w:r>
          </w:p>
        </w:tc>
        <w:tc>
          <w:tcPr>
            <w:tcW w:type="dxa" w:w="2900"/>
            <w:vAlign w:val="center"/>
            <w:tcMar>
              <w:top w:w="90" w:type="dxa"/>
              <w:start w:w="120" w:type="dxa"/>
              <w:bottom w:w="90" w:type="dxa"/>
              <w:end w:w="120" w:type="dxa"/>
            </w:tcMar>
          </w:tcPr>
          <w:p>
            <w:pPr>
              <w:spacing w:after="0" w:line="259" w:lineRule="auto"/>
            </w:pPr>
            <w:r>
              <w:rPr>
                <w:rFonts w:ascii="Arial" w:hAnsi="Arial"/>
                <w:sz w:val="17"/>
              </w:rPr>
              <w:t>148.600 EUR</w:t>
            </w:r>
          </w:p>
        </w:tc>
        <w:tc>
          <w:tcPr>
            <w:tcW w:type="dxa" w:w="2900"/>
            <w:vAlign w:val="center"/>
            <w:tcMar>
              <w:top w:w="90" w:type="dxa"/>
              <w:start w:w="120" w:type="dxa"/>
              <w:bottom w:w="90" w:type="dxa"/>
              <w:end w:w="120" w:type="dxa"/>
            </w:tcMar>
          </w:tcPr>
          <w:p>
            <w:pPr>
              <w:spacing w:after="0" w:line="259" w:lineRule="auto"/>
            </w:pPr>
            <w:r>
              <w:rPr>
                <w:rFonts w:ascii="Arial" w:hAnsi="Arial"/>
                <w:sz w:val="17"/>
              </w:rPr>
              <w:t>52.800 EUR</w:t>
            </w:r>
          </w:p>
        </w:tc>
      </w:tr>
      <w:tr>
        <w:tc>
          <w:tcPr>
            <w:tcW w:type="dxa" w:w="1300"/>
            <w:vAlign w:val="center"/>
            <w:shd w:fill="F2F4F7"/>
            <w:tcMar>
              <w:top w:w="90" w:type="dxa"/>
              <w:start w:w="120" w:type="dxa"/>
              <w:bottom w:w="90" w:type="dxa"/>
              <w:end w:w="120" w:type="dxa"/>
            </w:tcMar>
          </w:tcPr>
          <w:p>
            <w:pPr>
              <w:spacing w:after="0" w:line="259" w:lineRule="auto"/>
            </w:pPr>
            <w:r>
              <w:rPr>
                <w:rFonts w:ascii="Arial" w:hAnsi="Arial"/>
                <w:sz w:val="17"/>
              </w:rPr>
              <w:t>2024</w:t>
            </w:r>
          </w:p>
        </w:tc>
        <w:tc>
          <w:tcPr>
            <w:tcW w:type="dxa" w:w="2500"/>
            <w:vAlign w:val="center"/>
            <w:shd w:fill="F2F4F7"/>
            <w:tcMar>
              <w:top w:w="90" w:type="dxa"/>
              <w:start w:w="120" w:type="dxa"/>
              <w:bottom w:w="90" w:type="dxa"/>
              <w:end w:w="120" w:type="dxa"/>
            </w:tcMar>
          </w:tcPr>
          <w:p>
            <w:pPr>
              <w:spacing w:after="0" w:line="259" w:lineRule="auto"/>
            </w:pPr>
            <w:r>
              <w:rPr>
                <w:rFonts w:ascii="Arial" w:hAnsi="Arial"/>
                <w:sz w:val="17"/>
              </w:rPr>
              <w:t>731.500 EUR</w:t>
            </w:r>
          </w:p>
        </w:tc>
        <w:tc>
          <w:tcPr>
            <w:tcW w:type="dxa" w:w="2900"/>
            <w:vAlign w:val="center"/>
            <w:shd w:fill="F2F4F7"/>
            <w:tcMar>
              <w:top w:w="90" w:type="dxa"/>
              <w:start w:w="120" w:type="dxa"/>
              <w:bottom w:w="90" w:type="dxa"/>
              <w:end w:w="120" w:type="dxa"/>
            </w:tcMar>
          </w:tcPr>
          <w:p>
            <w:pPr>
              <w:spacing w:after="0" w:line="259" w:lineRule="auto"/>
            </w:pPr>
            <w:r>
              <w:rPr>
                <w:rFonts w:ascii="Arial" w:hAnsi="Arial"/>
                <w:sz w:val="17"/>
              </w:rPr>
              <w:t>162.900 EUR</w:t>
            </w:r>
          </w:p>
        </w:tc>
        <w:tc>
          <w:tcPr>
            <w:tcW w:type="dxa" w:w="2900"/>
            <w:vAlign w:val="center"/>
            <w:shd w:fill="F2F4F7"/>
            <w:tcMar>
              <w:top w:w="90" w:type="dxa"/>
              <w:start w:w="120" w:type="dxa"/>
              <w:bottom w:w="90" w:type="dxa"/>
              <w:end w:w="120" w:type="dxa"/>
            </w:tcMar>
          </w:tcPr>
          <w:p>
            <w:pPr>
              <w:spacing w:after="0" w:line="259" w:lineRule="auto"/>
            </w:pPr>
            <w:r>
              <w:rPr>
                <w:rFonts w:ascii="Arial" w:hAnsi="Arial"/>
                <w:sz w:val="17"/>
              </w:rPr>
              <w:t>57.600 EUR</w:t>
            </w:r>
          </w:p>
        </w:tc>
      </w:tr>
      <w:tr>
        <w:tc>
          <w:tcPr>
            <w:tcW w:type="dxa" w:w="1300"/>
            <w:vAlign w:val="center"/>
            <w:tcMar>
              <w:top w:w="90" w:type="dxa"/>
              <w:start w:w="120" w:type="dxa"/>
              <w:bottom w:w="90" w:type="dxa"/>
              <w:end w:w="120" w:type="dxa"/>
            </w:tcMar>
          </w:tcPr>
          <w:p>
            <w:pPr>
              <w:spacing w:after="0" w:line="259" w:lineRule="auto"/>
            </w:pPr>
            <w:r>
              <w:rPr>
                <w:rFonts w:ascii="Arial" w:hAnsi="Arial"/>
                <w:sz w:val="17"/>
              </w:rPr>
              <w:t>2025</w:t>
            </w:r>
          </w:p>
        </w:tc>
        <w:tc>
          <w:tcPr>
            <w:tcW w:type="dxa" w:w="2500"/>
            <w:vAlign w:val="center"/>
            <w:tcMar>
              <w:top w:w="90" w:type="dxa"/>
              <w:start w:w="120" w:type="dxa"/>
              <w:bottom w:w="90" w:type="dxa"/>
              <w:end w:w="120" w:type="dxa"/>
            </w:tcMar>
          </w:tcPr>
          <w:p>
            <w:pPr>
              <w:spacing w:after="0" w:line="259" w:lineRule="auto"/>
            </w:pPr>
            <w:r>
              <w:rPr>
                <w:rFonts w:ascii="Arial" w:hAnsi="Arial"/>
                <w:sz w:val="17"/>
              </w:rPr>
              <w:t>758.100 EUR</w:t>
            </w:r>
          </w:p>
        </w:tc>
        <w:tc>
          <w:tcPr>
            <w:tcW w:type="dxa" w:w="2900"/>
            <w:vAlign w:val="center"/>
            <w:tcMar>
              <w:top w:w="90" w:type="dxa"/>
              <w:start w:w="120" w:type="dxa"/>
              <w:bottom w:w="90" w:type="dxa"/>
              <w:end w:w="120" w:type="dxa"/>
            </w:tcMar>
          </w:tcPr>
          <w:p>
            <w:pPr>
              <w:spacing w:after="0" w:line="259" w:lineRule="auto"/>
            </w:pPr>
            <w:r>
              <w:rPr>
                <w:rFonts w:ascii="Arial" w:hAnsi="Arial"/>
                <w:sz w:val="17"/>
              </w:rPr>
              <w:t>154.400 EUR</w:t>
            </w:r>
          </w:p>
        </w:tc>
        <w:tc>
          <w:tcPr>
            <w:tcW w:type="dxa" w:w="2900"/>
            <w:vAlign w:val="center"/>
            <w:tcMar>
              <w:top w:w="90" w:type="dxa"/>
              <w:start w:w="120" w:type="dxa"/>
              <w:bottom w:w="90" w:type="dxa"/>
              <w:end w:w="120" w:type="dxa"/>
            </w:tcMar>
          </w:tcPr>
          <w:p>
            <w:pPr>
              <w:spacing w:after="0" w:line="259" w:lineRule="auto"/>
            </w:pPr>
            <w:r>
              <w:rPr>
                <w:rFonts w:ascii="Arial" w:hAnsi="Arial"/>
                <w:sz w:val="17"/>
              </w:rPr>
              <w:t>61.200 EUR</w:t>
            </w:r>
          </w:p>
        </w:tc>
      </w:tr>
      <w:tr>
        <w:tc>
          <w:tcPr>
            <w:tcW w:type="dxa" w:w="1300"/>
            <w:vAlign w:val="center"/>
            <w:shd w:fill="F2F4F7"/>
            <w:tcMar>
              <w:top w:w="90" w:type="dxa"/>
              <w:start w:w="120" w:type="dxa"/>
              <w:bottom w:w="90" w:type="dxa"/>
              <w:end w:w="120" w:type="dxa"/>
            </w:tcMar>
          </w:tcPr>
          <w:p>
            <w:pPr>
              <w:spacing w:after="0" w:line="259" w:lineRule="auto"/>
            </w:pPr>
            <w:r>
              <w:rPr>
                <w:rFonts w:ascii="Arial" w:hAnsi="Arial"/>
                <w:sz w:val="17"/>
              </w:rPr>
              <w:t>01-06/2026</w:t>
            </w:r>
          </w:p>
        </w:tc>
        <w:tc>
          <w:tcPr>
            <w:tcW w:type="dxa" w:w="2500"/>
            <w:vAlign w:val="center"/>
            <w:shd w:fill="F2F4F7"/>
            <w:tcMar>
              <w:top w:w="90" w:type="dxa"/>
              <w:start w:w="120" w:type="dxa"/>
              <w:bottom w:w="90" w:type="dxa"/>
              <w:end w:w="120" w:type="dxa"/>
            </w:tcMar>
          </w:tcPr>
          <w:p>
            <w:pPr>
              <w:spacing w:after="0" w:line="259" w:lineRule="auto"/>
            </w:pPr>
            <w:r>
              <w:rPr>
                <w:rFonts w:ascii="Arial" w:hAnsi="Arial"/>
                <w:sz w:val="17"/>
              </w:rPr>
              <w:t>348.600 EUR</w:t>
            </w:r>
          </w:p>
        </w:tc>
        <w:tc>
          <w:tcPr>
            <w:tcW w:type="dxa" w:w="2900"/>
            <w:vAlign w:val="center"/>
            <w:shd w:fill="F2F4F7"/>
            <w:tcMar>
              <w:top w:w="90" w:type="dxa"/>
              <w:start w:w="120" w:type="dxa"/>
              <w:bottom w:w="90" w:type="dxa"/>
              <w:end w:w="120" w:type="dxa"/>
            </w:tcMar>
          </w:tcPr>
          <w:p>
            <w:pPr>
              <w:spacing w:after="0" w:line="259" w:lineRule="auto"/>
            </w:pPr>
            <w:r>
              <w:rPr>
                <w:rFonts w:ascii="Arial" w:hAnsi="Arial"/>
                <w:sz w:val="17"/>
              </w:rPr>
              <w:t>vorläufig 61.800 EUR</w:t>
            </w:r>
          </w:p>
        </w:tc>
        <w:tc>
          <w:tcPr>
            <w:tcW w:type="dxa" w:w="2900"/>
            <w:vAlign w:val="center"/>
            <w:shd w:fill="F2F4F7"/>
            <w:tcMar>
              <w:top w:w="90" w:type="dxa"/>
              <w:start w:w="120" w:type="dxa"/>
              <w:bottom w:w="90" w:type="dxa"/>
              <w:end w:w="120" w:type="dxa"/>
            </w:tcMar>
          </w:tcPr>
          <w:p>
            <w:pPr>
              <w:spacing w:after="0" w:line="259" w:lineRule="auto"/>
            </w:pPr>
            <w:r>
              <w:rPr>
                <w:rFonts w:ascii="Arial" w:hAnsi="Arial"/>
                <w:sz w:val="17"/>
              </w:rPr>
              <w:t>24.600 EUR</w:t>
            </w:r>
          </w:p>
        </w:tc>
      </w:tr>
    </w:tbl>
    <w:p>
      <w:pPr>
        <w:spacing w:after="0"/>
      </w:pPr>
    </w:p>
    <w:p>
      <w:pPr>
        <w:pStyle w:val="Heading1"/>
      </w:pPr>
      <w:r>
        <w:t>2. Prüfpositionen</w:t>
      </w:r>
    </w:p>
    <w:p>
      <w:pPr>
        <w:jc w:val="both"/>
      </w:pPr>
      <w:r>
        <w:t>Der Praxis-Pkw wird zu geschätzt 35 Prozent privat genutzt; die steuerliche Ein-Prozent-Bewertung ist verbucht. Ein Darlehen für den Praxisumbau verursacht 2.480 Euro monatliche Tilgung und 620 Euro Zinsen. Abschreibungen enthalten 18.900 Euro für Geräte. Beiträge zu Ärzteversorgung und privater Zusatzvorsorge sind separat ausgewiesen. Zwei Zahlungen für ein häusliches Trainingszimmer sind noch als privat oder betrieblich zu klären.</w:t>
      </w:r>
    </w:p>
    <w:p>
      <w:pPr>
        <w:pStyle w:val="Heading1"/>
      </w:pPr>
      <w:r>
        <w:t>3. Kinderkosten</w:t>
      </w:r>
    </w:p>
    <w:tbl>
      <w:tblPr>
        <w:tblStyle w:val="TableGrid"/>
        <w:tblW w:type="dxa" w:w="9600"/>
        <w:tblLayout w:type="fixed"/>
        <w:tblLook w:firstColumn="1" w:firstRow="1" w:lastColumn="0" w:lastRow="0" w:noHBand="0" w:noVBand="1" w:val="04A0"/>
        <w:tblInd w:w="120" w:type="dxa"/>
      </w:tblPr>
      <w:tblGrid>
        <w:gridCol w:w="2700"/>
        <w:gridCol w:w="2200"/>
        <w:gridCol w:w="2200"/>
        <w:gridCol w:w="2500"/>
      </w:tblGrid>
      <w:tr>
        <w:trPr>
          <w:tblHeader w:val="true"/>
        </w:trPr>
        <w:tc>
          <w:tcPr>
            <w:tcW w:type="dxa" w:w="2700"/>
            <w:vAlign w:val="center"/>
            <w:shd w:fill="DCE6F1"/>
            <w:tcMar>
              <w:top w:w="90" w:type="dxa"/>
              <w:start w:w="120" w:type="dxa"/>
              <w:bottom w:w="90" w:type="dxa"/>
              <w:end w:w="120" w:type="dxa"/>
            </w:tcMar>
          </w:tcPr>
          <w:p>
            <w:pPr>
              <w:spacing w:after="0"/>
            </w:pPr>
            <w:r>
              <w:rPr>
                <w:rFonts w:ascii="Arial" w:hAnsi="Arial"/>
                <w:b/>
                <w:sz w:val="18"/>
              </w:rPr>
              <w:t>Position</w:t>
            </w:r>
          </w:p>
        </w:tc>
        <w:tc>
          <w:tcPr>
            <w:tcW w:type="dxa" w:w="2200"/>
            <w:vAlign w:val="center"/>
            <w:shd w:fill="DCE6F1"/>
            <w:tcMar>
              <w:top w:w="90" w:type="dxa"/>
              <w:start w:w="120" w:type="dxa"/>
              <w:bottom w:w="90" w:type="dxa"/>
              <w:end w:w="120" w:type="dxa"/>
            </w:tcMar>
          </w:tcPr>
          <w:p>
            <w:pPr>
              <w:spacing w:after="0"/>
            </w:pPr>
            <w:r>
              <w:rPr>
                <w:rFonts w:ascii="Arial" w:hAnsi="Arial"/>
                <w:b/>
                <w:sz w:val="18"/>
              </w:rPr>
              <w:t>Monat / Fälligkeit</w:t>
            </w:r>
          </w:p>
        </w:tc>
        <w:tc>
          <w:tcPr>
            <w:tcW w:type="dxa" w:w="2200"/>
            <w:vAlign w:val="center"/>
            <w:shd w:fill="DCE6F1"/>
            <w:tcMar>
              <w:top w:w="90" w:type="dxa"/>
              <w:start w:w="120" w:type="dxa"/>
              <w:bottom w:w="90" w:type="dxa"/>
              <w:end w:w="120" w:type="dxa"/>
            </w:tcMar>
          </w:tcPr>
          <w:p>
            <w:pPr>
              <w:spacing w:after="0"/>
            </w:pPr>
            <w:r>
              <w:rPr>
                <w:rFonts w:ascii="Arial" w:hAnsi="Arial"/>
                <w:b/>
                <w:sz w:val="18"/>
              </w:rPr>
              <w:t>Betrag</w:t>
            </w:r>
          </w:p>
        </w:tc>
        <w:tc>
          <w:tcPr>
            <w:tcW w:type="dxa" w:w="2500"/>
            <w:vAlign w:val="center"/>
            <w:shd w:fill="DCE6F1"/>
            <w:tcMar>
              <w:top w:w="90" w:type="dxa"/>
              <w:start w:w="120" w:type="dxa"/>
              <w:bottom w:w="90" w:type="dxa"/>
              <w:end w:w="120" w:type="dxa"/>
            </w:tcMar>
          </w:tcPr>
          <w:p>
            <w:pPr>
              <w:spacing w:after="0"/>
            </w:pPr>
            <w:r>
              <w:rPr>
                <w:rFonts w:ascii="Arial" w:hAnsi="Arial"/>
                <w:b/>
                <w:sz w:val="18"/>
              </w:rPr>
              <w:t>Zahlungsstand</w:t>
            </w:r>
          </w:p>
        </w:tc>
      </w:tr>
      <w:tr>
        <w:tc>
          <w:tcPr>
            <w:tcW w:type="dxa" w:w="2700"/>
            <w:vAlign w:val="center"/>
            <w:tcMar>
              <w:top w:w="90" w:type="dxa"/>
              <w:start w:w="120" w:type="dxa"/>
              <w:bottom w:w="90" w:type="dxa"/>
              <w:end w:w="120" w:type="dxa"/>
            </w:tcMar>
          </w:tcPr>
          <w:p>
            <w:pPr>
              <w:spacing w:after="0" w:line="259" w:lineRule="auto"/>
            </w:pPr>
            <w:r>
              <w:rPr>
                <w:rFonts w:ascii="Arial" w:hAnsi="Arial"/>
                <w:sz w:val="17"/>
              </w:rPr>
              <w:t>Musikschule Nora</w:t>
            </w:r>
          </w:p>
        </w:tc>
        <w:tc>
          <w:tcPr>
            <w:tcW w:type="dxa" w:w="2200"/>
            <w:vAlign w:val="center"/>
            <w:tcMar>
              <w:top w:w="90" w:type="dxa"/>
              <w:start w:w="120" w:type="dxa"/>
              <w:bottom w:w="90" w:type="dxa"/>
              <w:end w:w="120" w:type="dxa"/>
            </w:tcMar>
          </w:tcPr>
          <w:p>
            <w:pPr>
              <w:spacing w:after="0" w:line="259" w:lineRule="auto"/>
            </w:pPr>
            <w:r>
              <w:rPr>
                <w:rFonts w:ascii="Arial" w:hAnsi="Arial"/>
                <w:sz w:val="17"/>
              </w:rPr>
              <w:t>monatlich</w:t>
            </w:r>
          </w:p>
        </w:tc>
        <w:tc>
          <w:tcPr>
            <w:tcW w:type="dxa" w:w="2200"/>
            <w:vAlign w:val="center"/>
            <w:tcMar>
              <w:top w:w="90" w:type="dxa"/>
              <w:start w:w="120" w:type="dxa"/>
              <w:bottom w:w="90" w:type="dxa"/>
              <w:end w:w="120" w:type="dxa"/>
            </w:tcMar>
          </w:tcPr>
          <w:p>
            <w:pPr>
              <w:spacing w:after="0" w:line="259" w:lineRule="auto"/>
            </w:pPr>
            <w:r>
              <w:rPr>
                <w:rFonts w:ascii="Arial" w:hAnsi="Arial"/>
                <w:sz w:val="17"/>
              </w:rPr>
              <w:t>86 EUR</w:t>
            </w:r>
          </w:p>
        </w:tc>
        <w:tc>
          <w:tcPr>
            <w:tcW w:type="dxa" w:w="2500"/>
            <w:vAlign w:val="center"/>
            <w:tcMar>
              <w:top w:w="90" w:type="dxa"/>
              <w:start w:w="120" w:type="dxa"/>
              <w:bottom w:w="90" w:type="dxa"/>
              <w:end w:w="120" w:type="dxa"/>
            </w:tcMar>
          </w:tcPr>
          <w:p>
            <w:pPr>
              <w:spacing w:after="0" w:line="259" w:lineRule="auto"/>
            </w:pPr>
            <w:r>
              <w:rPr>
                <w:rFonts w:ascii="Arial" w:hAnsi="Arial"/>
                <w:sz w:val="17"/>
              </w:rPr>
              <w:t>Malte zahlt</w:t>
            </w:r>
          </w:p>
        </w:tc>
      </w:tr>
      <w:tr>
        <w:tc>
          <w:tcPr>
            <w:tcW w:type="dxa" w:w="2700"/>
            <w:vAlign w:val="center"/>
            <w:shd w:fill="F2F4F7"/>
            <w:tcMar>
              <w:top w:w="90" w:type="dxa"/>
              <w:start w:w="120" w:type="dxa"/>
              <w:bottom w:w="90" w:type="dxa"/>
              <w:end w:w="120" w:type="dxa"/>
            </w:tcMar>
          </w:tcPr>
          <w:p>
            <w:pPr>
              <w:spacing w:after="0" w:line="259" w:lineRule="auto"/>
            </w:pPr>
            <w:r>
              <w:rPr>
                <w:rFonts w:ascii="Arial" w:hAnsi="Arial"/>
                <w:sz w:val="17"/>
              </w:rPr>
              <w:t>Hort Jasper</w:t>
            </w:r>
          </w:p>
        </w:tc>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monatlich</w:t>
            </w:r>
          </w:p>
        </w:tc>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142 EUR</w:t>
            </w:r>
          </w:p>
        </w:tc>
        <w:tc>
          <w:tcPr>
            <w:tcW w:type="dxa" w:w="2500"/>
            <w:vAlign w:val="center"/>
            <w:shd w:fill="F2F4F7"/>
            <w:tcMar>
              <w:top w:w="90" w:type="dxa"/>
              <w:start w:w="120" w:type="dxa"/>
              <w:bottom w:w="90" w:type="dxa"/>
              <w:end w:w="120" w:type="dxa"/>
            </w:tcMar>
          </w:tcPr>
          <w:p>
            <w:pPr>
              <w:spacing w:after="0" w:line="259" w:lineRule="auto"/>
            </w:pPr>
            <w:r>
              <w:rPr>
                <w:rFonts w:ascii="Arial" w:hAnsi="Arial"/>
                <w:sz w:val="17"/>
              </w:rPr>
              <w:t>Rieke zahlt</w:t>
            </w:r>
          </w:p>
        </w:tc>
      </w:tr>
      <w:tr>
        <w:tc>
          <w:tcPr>
            <w:tcW w:type="dxa" w:w="2700"/>
            <w:vAlign w:val="center"/>
            <w:tcMar>
              <w:top w:w="90" w:type="dxa"/>
              <w:start w:w="120" w:type="dxa"/>
              <w:bottom w:w="90" w:type="dxa"/>
              <w:end w:w="120" w:type="dxa"/>
            </w:tcMar>
          </w:tcPr>
          <w:p>
            <w:pPr>
              <w:spacing w:after="0" w:line="259" w:lineRule="auto"/>
            </w:pPr>
            <w:r>
              <w:rPr>
                <w:rFonts w:ascii="Arial" w:hAnsi="Arial"/>
                <w:sz w:val="17"/>
              </w:rPr>
              <w:t>Klassenfahrt Nora</w:t>
            </w:r>
          </w:p>
        </w:tc>
        <w:tc>
          <w:tcPr>
            <w:tcW w:type="dxa" w:w="2200"/>
            <w:vAlign w:val="center"/>
            <w:tcMar>
              <w:top w:w="90" w:type="dxa"/>
              <w:start w:w="120" w:type="dxa"/>
              <w:bottom w:w="90" w:type="dxa"/>
              <w:end w:w="120" w:type="dxa"/>
            </w:tcMar>
          </w:tcPr>
          <w:p>
            <w:pPr>
              <w:spacing w:after="0" w:line="259" w:lineRule="auto"/>
            </w:pPr>
            <w:r>
              <w:rPr>
                <w:rFonts w:ascii="Arial" w:hAnsi="Arial"/>
                <w:sz w:val="17"/>
              </w:rPr>
              <w:t>Mai 2026</w:t>
            </w:r>
          </w:p>
        </w:tc>
        <w:tc>
          <w:tcPr>
            <w:tcW w:type="dxa" w:w="2200"/>
            <w:vAlign w:val="center"/>
            <w:tcMar>
              <w:top w:w="90" w:type="dxa"/>
              <w:start w:w="120" w:type="dxa"/>
              <w:bottom w:w="90" w:type="dxa"/>
              <w:end w:w="120" w:type="dxa"/>
            </w:tcMar>
          </w:tcPr>
          <w:p>
            <w:pPr>
              <w:spacing w:after="0" w:line="259" w:lineRule="auto"/>
            </w:pPr>
            <w:r>
              <w:rPr>
                <w:rFonts w:ascii="Arial" w:hAnsi="Arial"/>
                <w:sz w:val="17"/>
              </w:rPr>
              <w:t>380 EUR</w:t>
            </w:r>
          </w:p>
        </w:tc>
        <w:tc>
          <w:tcPr>
            <w:tcW w:type="dxa" w:w="2500"/>
            <w:vAlign w:val="center"/>
            <w:tcMar>
              <w:top w:w="90" w:type="dxa"/>
              <w:start w:w="120" w:type="dxa"/>
              <w:bottom w:w="90" w:type="dxa"/>
              <w:end w:w="120" w:type="dxa"/>
            </w:tcMar>
          </w:tcPr>
          <w:p>
            <w:pPr>
              <w:spacing w:after="0" w:line="259" w:lineRule="auto"/>
            </w:pPr>
            <w:r>
              <w:rPr>
                <w:rFonts w:ascii="Arial" w:hAnsi="Arial"/>
                <w:sz w:val="17"/>
              </w:rPr>
              <w:t>je 190 EUR</w:t>
            </w:r>
          </w:p>
        </w:tc>
      </w:tr>
      <w:tr>
        <w:tc>
          <w:tcPr>
            <w:tcW w:type="dxa" w:w="2700"/>
            <w:vAlign w:val="center"/>
            <w:shd w:fill="F2F4F7"/>
            <w:tcMar>
              <w:top w:w="90" w:type="dxa"/>
              <w:start w:w="120" w:type="dxa"/>
              <w:bottom w:w="90" w:type="dxa"/>
              <w:end w:w="120" w:type="dxa"/>
            </w:tcMar>
          </w:tcPr>
          <w:p>
            <w:pPr>
              <w:spacing w:after="0" w:line="259" w:lineRule="auto"/>
            </w:pPr>
            <w:r>
              <w:rPr>
                <w:rFonts w:ascii="Arial" w:hAnsi="Arial"/>
                <w:sz w:val="17"/>
              </w:rPr>
              <w:t>Kieferorthopädie</w:t>
            </w:r>
          </w:p>
        </w:tc>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ab September</w:t>
            </w:r>
          </w:p>
        </w:tc>
        <w:tc>
          <w:tcPr>
            <w:tcW w:type="dxa" w:w="2200"/>
            <w:vAlign w:val="center"/>
            <w:shd w:fill="F2F4F7"/>
            <w:tcMar>
              <w:top w:w="90" w:type="dxa"/>
              <w:start w:w="120" w:type="dxa"/>
              <w:bottom w:w="90" w:type="dxa"/>
              <w:end w:w="120" w:type="dxa"/>
            </w:tcMar>
          </w:tcPr>
          <w:p>
            <w:pPr>
              <w:spacing w:after="0" w:line="259" w:lineRule="auto"/>
            </w:pPr>
            <w:r>
              <w:rPr>
                <w:rFonts w:ascii="Arial" w:hAnsi="Arial"/>
                <w:sz w:val="17"/>
              </w:rPr>
              <w:t>1.240 EUR Eigenanteil geplant</w:t>
            </w:r>
          </w:p>
        </w:tc>
        <w:tc>
          <w:tcPr>
            <w:tcW w:type="dxa" w:w="2500"/>
            <w:vAlign w:val="center"/>
            <w:shd w:fill="F2F4F7"/>
            <w:tcMar>
              <w:top w:w="90" w:type="dxa"/>
              <w:start w:w="120" w:type="dxa"/>
              <w:bottom w:w="90" w:type="dxa"/>
              <w:end w:w="120" w:type="dxa"/>
            </w:tcMar>
          </w:tcPr>
          <w:p>
            <w:pPr>
              <w:spacing w:after="0" w:line="259" w:lineRule="auto"/>
            </w:pPr>
            <w:r>
              <w:rPr>
                <w:rFonts w:ascii="Arial" w:hAnsi="Arial"/>
                <w:sz w:val="17"/>
              </w:rPr>
              <w:t>Kassenerstattung offen</w:t>
            </w:r>
          </w:p>
        </w:tc>
      </w:tr>
    </w:tbl>
    <w:p>
      <w:pPr>
        <w:spacing w:after="0"/>
      </w:pPr>
    </w:p>
    <w:p>
      <w:pPr>
        <w:pStyle w:val="Heading1"/>
      </w:pPr>
      <w:r>
        <w:t>4. Hinweis</w:t>
      </w:r>
    </w:p>
    <w:p>
      <w:pPr>
        <w:jc w:val="both"/>
      </w:pPr>
      <w:r>
        <w:t>Für eine rechtliche Einkommensbereinigung sind Mehrjahreszeitraum, betriebliche Notwendigkeit, tatsächliche Steuerlast, Vorsorge, Darlehen und geldwerte Vorteile eigenständig zu beurteilen. Der vorläufige Gewinn darf nicht ungeprüft mit verfügbaren Mitteln gleichgesetzt werden.</w:t>
      </w:r>
    </w:p>
    <w:p>
      <w:pPr>
        <w:jc w:val="both"/>
      </w:pPr>
      <w:r>
        <w:t>Kai Hansen Steuerberater</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Steuerkanzlei Hansen &amp; Reimer  |  HR/PH-2026-44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 Einkommens- und Kostenaufstellung</dc:title>
  <dc:subject>HR/PH-2026-44</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