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7365D"/>
          <w:sz w:val="17"/>
        </w:rPr>
        <w:t>AUSKUNFTSERKLÄRUNG</w:t>
      </w:r>
    </w:p>
    <w:p>
      <w:pPr>
        <w:spacing w:after="40"/>
      </w:pPr>
      <w:r>
        <w:rPr>
          <w:rFonts w:ascii="Arial" w:hAnsi="Arial"/>
          <w:b/>
          <w:sz w:val="25"/>
        </w:rPr>
        <w:t>Physiotherapie Henning</w:t>
      </w:r>
    </w:p>
    <w:p>
      <w:pPr>
        <w:spacing w:after="200"/>
      </w:pPr>
      <w:r>
        <w:rPr>
          <w:rFonts w:ascii="Arial" w:hAnsi="Arial"/>
          <w:color w:val="586069"/>
          <w:sz w:val="17"/>
        </w:rPr>
        <w:t>Inhaber Malte Henning | Feldstraße 77 | 24105 Kiel</w:t>
      </w:r>
    </w:p>
    <w:p>
      <w:pPr>
        <w:spacing w:after="160"/>
      </w:pPr>
      <w:r>
        <w:t>Kanzlei Förde Familienrecht</w:t>
      </w:r>
    </w:p>
    <w:p>
      <w:pPr>
        <w:spacing w:after="80"/>
      </w:pPr>
      <w:r>
        <w:rPr>
          <w:rFonts w:ascii="Arial" w:hAnsi="Arial"/>
          <w:color w:val="586069"/>
          <w:sz w:val="18"/>
        </w:rPr>
        <w:t>Datum: 08.07.2026  |  Zeichen: PH/Unterhalt/2026</w:t>
      </w:r>
    </w:p>
    <w:p>
      <w:pPr>
        <w:pStyle w:val="Title"/>
      </w:pPr>
      <w:r>
        <w:t>Auskunft über Einkünfte und Belege</w:t>
      </w:r>
    </w:p>
    <w:p>
      <w:pPr>
        <w:jc w:val="both"/>
      </w:pPr>
      <w:r>
        <w:t>Ich erteile die Auskunft nach bestem Wissen auf Grundlage der beigefügten Unterlagen. Die rechtliche Einordnung einzelner betrieblicher Positionen bleibt vorbehalten.</w:t>
      </w:r>
    </w:p>
    <w:p>
      <w:pPr>
        <w:pStyle w:val="Heading1"/>
      </w:pPr>
      <w:r>
        <w:t>1. Einkunftsarten</w:t>
      </w:r>
    </w:p>
    <w:p>
      <w:pPr>
        <w:jc w:val="both"/>
      </w:pPr>
      <w:r>
        <w:t>Ich beziehe keine feste Vergütung. Meine Mittel stammen aus dem Praxisgewinn, Privatentnahmen und in geringem Umfang aus Zinsen. Beteiligungen oder Mieteinkünfte bestehen nicht. Der Praxis-Pkw wird auch privat genutzt und steuerlich erfasst.</w:t>
      </w:r>
    </w:p>
    <w:p>
      <w:pPr>
        <w:pStyle w:val="Heading1"/>
      </w:pPr>
      <w:r>
        <w:t>2. Belegverzeichnis</w:t>
      </w:r>
    </w:p>
    <w:tbl>
      <w:tblPr>
        <w:tblStyle w:val="TableGrid"/>
        <w:tblW w:type="dxa" w:w="9600"/>
        <w:tblLayout w:type="fixed"/>
        <w:tblLook w:firstColumn="1" w:firstRow="1" w:lastColumn="0" w:lastRow="0" w:noHBand="0" w:noVBand="1" w:val="04A0"/>
        <w:tblInd w:w="120" w:type="dxa"/>
      </w:tblPr>
      <w:tblGrid>
        <w:gridCol w:w="900"/>
        <w:gridCol w:w="5200"/>
        <w:gridCol w:w="3500"/>
      </w:tblGrid>
      <w:tr>
        <w:trPr>
          <w:tblHeader w:val="true"/>
        </w:trPr>
        <w:tc>
          <w:tcPr>
            <w:tcW w:type="dxa" w:w="900"/>
            <w:vAlign w:val="center"/>
            <w:shd w:fill="DCE6F1"/>
            <w:tcMar>
              <w:top w:w="90" w:type="dxa"/>
              <w:start w:w="120" w:type="dxa"/>
              <w:bottom w:w="90" w:type="dxa"/>
              <w:end w:w="120" w:type="dxa"/>
            </w:tcMar>
          </w:tcPr>
          <w:p>
            <w:pPr>
              <w:spacing w:after="0"/>
            </w:pPr>
            <w:r>
              <w:rPr>
                <w:rFonts w:ascii="Arial" w:hAnsi="Arial"/>
                <w:b/>
                <w:sz w:val="18"/>
              </w:rPr>
              <w:t>Nr.</w:t>
            </w:r>
          </w:p>
        </w:tc>
        <w:tc>
          <w:tcPr>
            <w:tcW w:type="dxa" w:w="5200"/>
            <w:vAlign w:val="center"/>
            <w:shd w:fill="DCE6F1"/>
            <w:tcMar>
              <w:top w:w="90" w:type="dxa"/>
              <w:start w:w="120" w:type="dxa"/>
              <w:bottom w:w="90" w:type="dxa"/>
              <w:end w:w="120" w:type="dxa"/>
            </w:tcMar>
          </w:tcPr>
          <w:p>
            <w:pPr>
              <w:spacing w:after="0"/>
            </w:pPr>
            <w:r>
              <w:rPr>
                <w:rFonts w:ascii="Arial" w:hAnsi="Arial"/>
                <w:b/>
                <w:sz w:val="18"/>
              </w:rPr>
              <w:t>Unterlage</w:t>
            </w:r>
          </w:p>
        </w:tc>
        <w:tc>
          <w:tcPr>
            <w:tcW w:type="dxa" w:w="3500"/>
            <w:vAlign w:val="center"/>
            <w:shd w:fill="DCE6F1"/>
            <w:tcMar>
              <w:top w:w="90" w:type="dxa"/>
              <w:start w:w="120" w:type="dxa"/>
              <w:bottom w:w="90" w:type="dxa"/>
              <w:end w:w="120" w:type="dxa"/>
            </w:tcMar>
          </w:tcPr>
          <w:p>
            <w:pPr>
              <w:spacing w:after="0"/>
            </w:pPr>
            <w:r>
              <w:rPr>
                <w:rFonts w:ascii="Arial" w:hAnsi="Arial"/>
                <w:b/>
                <w:sz w:val="18"/>
              </w:rPr>
              <w:t>Zeitraum</w:t>
            </w:r>
          </w:p>
        </w:tc>
      </w:tr>
      <w:tr>
        <w:tc>
          <w:tcPr>
            <w:tcW w:type="dxa" w:w="900"/>
            <w:vAlign w:val="center"/>
            <w:tcMar>
              <w:top w:w="90" w:type="dxa"/>
              <w:start w:w="120" w:type="dxa"/>
              <w:bottom w:w="90" w:type="dxa"/>
              <w:end w:w="120" w:type="dxa"/>
            </w:tcMar>
          </w:tcPr>
          <w:p>
            <w:pPr>
              <w:spacing w:after="0" w:line="259" w:lineRule="auto"/>
            </w:pPr>
            <w:r>
              <w:rPr>
                <w:rFonts w:ascii="Arial" w:hAnsi="Arial"/>
                <w:sz w:val="17"/>
              </w:rPr>
              <w:t>1</w:t>
            </w:r>
          </w:p>
        </w:tc>
        <w:tc>
          <w:tcPr>
            <w:tcW w:type="dxa" w:w="5200"/>
            <w:vAlign w:val="center"/>
            <w:tcMar>
              <w:top w:w="90" w:type="dxa"/>
              <w:start w:w="120" w:type="dxa"/>
              <w:bottom w:w="90" w:type="dxa"/>
              <w:end w:w="120" w:type="dxa"/>
            </w:tcMar>
          </w:tcPr>
          <w:p>
            <w:pPr>
              <w:spacing w:after="0" w:line="259" w:lineRule="auto"/>
            </w:pPr>
            <w:r>
              <w:rPr>
                <w:rFonts w:ascii="Arial" w:hAnsi="Arial"/>
                <w:sz w:val="17"/>
              </w:rPr>
              <w:t>Einkommensteuerbescheide</w:t>
            </w:r>
          </w:p>
        </w:tc>
        <w:tc>
          <w:tcPr>
            <w:tcW w:type="dxa" w:w="3500"/>
            <w:vAlign w:val="center"/>
            <w:tcMar>
              <w:top w:w="90" w:type="dxa"/>
              <w:start w:w="120" w:type="dxa"/>
              <w:bottom w:w="90" w:type="dxa"/>
              <w:end w:w="120" w:type="dxa"/>
            </w:tcMar>
          </w:tcPr>
          <w:p>
            <w:pPr>
              <w:spacing w:after="0" w:line="259" w:lineRule="auto"/>
            </w:pPr>
            <w:r>
              <w:rPr>
                <w:rFonts w:ascii="Arial" w:hAnsi="Arial"/>
                <w:sz w:val="17"/>
              </w:rPr>
              <w:t>2023-2025</w:t>
            </w:r>
          </w:p>
        </w:tc>
      </w:tr>
      <w:tr>
        <w:tc>
          <w:tcPr>
            <w:tcW w:type="dxa" w:w="900"/>
            <w:vAlign w:val="center"/>
            <w:shd w:fill="F2F4F7"/>
            <w:tcMar>
              <w:top w:w="90" w:type="dxa"/>
              <w:start w:w="120" w:type="dxa"/>
              <w:bottom w:w="90" w:type="dxa"/>
              <w:end w:w="120" w:type="dxa"/>
            </w:tcMar>
          </w:tcPr>
          <w:p>
            <w:pPr>
              <w:spacing w:after="0" w:line="259" w:lineRule="auto"/>
            </w:pPr>
            <w:r>
              <w:rPr>
                <w:rFonts w:ascii="Arial" w:hAnsi="Arial"/>
                <w:sz w:val="17"/>
              </w:rPr>
              <w:t>2</w:t>
            </w:r>
          </w:p>
        </w:tc>
        <w:tc>
          <w:tcPr>
            <w:tcW w:type="dxa" w:w="5200"/>
            <w:vAlign w:val="center"/>
            <w:shd w:fill="F2F4F7"/>
            <w:tcMar>
              <w:top w:w="90" w:type="dxa"/>
              <w:start w:w="120" w:type="dxa"/>
              <w:bottom w:w="90" w:type="dxa"/>
              <w:end w:w="120" w:type="dxa"/>
            </w:tcMar>
          </w:tcPr>
          <w:p>
            <w:pPr>
              <w:spacing w:after="0" w:line="259" w:lineRule="auto"/>
            </w:pPr>
            <w:r>
              <w:rPr>
                <w:rFonts w:ascii="Arial" w:hAnsi="Arial"/>
                <w:sz w:val="17"/>
              </w:rPr>
              <w:t>Einnahmenüberschussrechnungen / Abschlüsse</w:t>
            </w:r>
          </w:p>
        </w:tc>
        <w:tc>
          <w:tcPr>
            <w:tcW w:type="dxa" w:w="3500"/>
            <w:vAlign w:val="center"/>
            <w:shd w:fill="F2F4F7"/>
            <w:tcMar>
              <w:top w:w="90" w:type="dxa"/>
              <w:start w:w="120" w:type="dxa"/>
              <w:bottom w:w="90" w:type="dxa"/>
              <w:end w:w="120" w:type="dxa"/>
            </w:tcMar>
          </w:tcPr>
          <w:p>
            <w:pPr>
              <w:spacing w:after="0" w:line="259" w:lineRule="auto"/>
            </w:pPr>
            <w:r>
              <w:rPr>
                <w:rFonts w:ascii="Arial" w:hAnsi="Arial"/>
                <w:sz w:val="17"/>
              </w:rPr>
              <w:t>2023-2025</w:t>
            </w:r>
          </w:p>
        </w:tc>
      </w:tr>
      <w:tr>
        <w:tc>
          <w:tcPr>
            <w:tcW w:type="dxa" w:w="900"/>
            <w:vAlign w:val="center"/>
            <w:tcMar>
              <w:top w:w="90" w:type="dxa"/>
              <w:start w:w="120" w:type="dxa"/>
              <w:bottom w:w="90" w:type="dxa"/>
              <w:end w:w="120" w:type="dxa"/>
            </w:tcMar>
          </w:tcPr>
          <w:p>
            <w:pPr>
              <w:spacing w:after="0" w:line="259" w:lineRule="auto"/>
            </w:pPr>
            <w:r>
              <w:rPr>
                <w:rFonts w:ascii="Arial" w:hAnsi="Arial"/>
                <w:sz w:val="17"/>
              </w:rPr>
              <w:t>3</w:t>
            </w:r>
          </w:p>
        </w:tc>
        <w:tc>
          <w:tcPr>
            <w:tcW w:type="dxa" w:w="5200"/>
            <w:vAlign w:val="center"/>
            <w:tcMar>
              <w:top w:w="90" w:type="dxa"/>
              <w:start w:w="120" w:type="dxa"/>
              <w:bottom w:w="90" w:type="dxa"/>
              <w:end w:w="120" w:type="dxa"/>
            </w:tcMar>
          </w:tcPr>
          <w:p>
            <w:pPr>
              <w:spacing w:after="0" w:line="259" w:lineRule="auto"/>
            </w:pPr>
            <w:r>
              <w:rPr>
                <w:rFonts w:ascii="Arial" w:hAnsi="Arial"/>
                <w:sz w:val="17"/>
              </w:rPr>
              <w:t>BWA und Summen-Salden-Liste</w:t>
            </w:r>
          </w:p>
        </w:tc>
        <w:tc>
          <w:tcPr>
            <w:tcW w:type="dxa" w:w="3500"/>
            <w:vAlign w:val="center"/>
            <w:tcMar>
              <w:top w:w="90" w:type="dxa"/>
              <w:start w:w="120" w:type="dxa"/>
              <w:bottom w:w="90" w:type="dxa"/>
              <w:end w:w="120" w:type="dxa"/>
            </w:tcMar>
          </w:tcPr>
          <w:p>
            <w:pPr>
              <w:spacing w:after="0" w:line="259" w:lineRule="auto"/>
            </w:pPr>
            <w:r>
              <w:rPr>
                <w:rFonts w:ascii="Arial" w:hAnsi="Arial"/>
                <w:sz w:val="17"/>
              </w:rPr>
              <w:t>01-06/2026</w:t>
            </w:r>
          </w:p>
        </w:tc>
      </w:tr>
      <w:tr>
        <w:tc>
          <w:tcPr>
            <w:tcW w:type="dxa" w:w="900"/>
            <w:vAlign w:val="center"/>
            <w:shd w:fill="F2F4F7"/>
            <w:tcMar>
              <w:top w:w="90" w:type="dxa"/>
              <w:start w:w="120" w:type="dxa"/>
              <w:bottom w:w="90" w:type="dxa"/>
              <w:end w:w="120" w:type="dxa"/>
            </w:tcMar>
          </w:tcPr>
          <w:p>
            <w:pPr>
              <w:spacing w:after="0" w:line="259" w:lineRule="auto"/>
            </w:pPr>
            <w:r>
              <w:rPr>
                <w:rFonts w:ascii="Arial" w:hAnsi="Arial"/>
                <w:sz w:val="17"/>
              </w:rPr>
              <w:t>4</w:t>
            </w:r>
          </w:p>
        </w:tc>
        <w:tc>
          <w:tcPr>
            <w:tcW w:type="dxa" w:w="5200"/>
            <w:vAlign w:val="center"/>
            <w:shd w:fill="F2F4F7"/>
            <w:tcMar>
              <w:top w:w="90" w:type="dxa"/>
              <w:start w:w="120" w:type="dxa"/>
              <w:bottom w:w="90" w:type="dxa"/>
              <w:end w:w="120" w:type="dxa"/>
            </w:tcMar>
          </w:tcPr>
          <w:p>
            <w:pPr>
              <w:spacing w:after="0" w:line="259" w:lineRule="auto"/>
            </w:pPr>
            <w:r>
              <w:rPr>
                <w:rFonts w:ascii="Arial" w:hAnsi="Arial"/>
                <w:sz w:val="17"/>
              </w:rPr>
              <w:t>Praxis- und Privatkonten</w:t>
            </w:r>
          </w:p>
        </w:tc>
        <w:tc>
          <w:tcPr>
            <w:tcW w:type="dxa" w:w="3500"/>
            <w:vAlign w:val="center"/>
            <w:shd w:fill="F2F4F7"/>
            <w:tcMar>
              <w:top w:w="90" w:type="dxa"/>
              <w:start w:w="120" w:type="dxa"/>
              <w:bottom w:w="90" w:type="dxa"/>
              <w:end w:w="120" w:type="dxa"/>
            </w:tcMar>
          </w:tcPr>
          <w:p>
            <w:pPr>
              <w:spacing w:after="0" w:line="259" w:lineRule="auto"/>
            </w:pPr>
            <w:r>
              <w:rPr>
                <w:rFonts w:ascii="Arial" w:hAnsi="Arial"/>
                <w:sz w:val="17"/>
              </w:rPr>
              <w:t>01-06/2026</w:t>
            </w:r>
          </w:p>
        </w:tc>
      </w:tr>
      <w:tr>
        <w:tc>
          <w:tcPr>
            <w:tcW w:type="dxa" w:w="900"/>
            <w:vAlign w:val="center"/>
            <w:tcMar>
              <w:top w:w="90" w:type="dxa"/>
              <w:start w:w="120" w:type="dxa"/>
              <w:bottom w:w="90" w:type="dxa"/>
              <w:end w:w="120" w:type="dxa"/>
            </w:tcMar>
          </w:tcPr>
          <w:p>
            <w:pPr>
              <w:spacing w:after="0" w:line="259" w:lineRule="auto"/>
            </w:pPr>
            <w:r>
              <w:rPr>
                <w:rFonts w:ascii="Arial" w:hAnsi="Arial"/>
                <w:sz w:val="17"/>
              </w:rPr>
              <w:t>5</w:t>
            </w:r>
          </w:p>
        </w:tc>
        <w:tc>
          <w:tcPr>
            <w:tcW w:type="dxa" w:w="5200"/>
            <w:vAlign w:val="center"/>
            <w:tcMar>
              <w:top w:w="90" w:type="dxa"/>
              <w:start w:w="120" w:type="dxa"/>
              <w:bottom w:w="90" w:type="dxa"/>
              <w:end w:w="120" w:type="dxa"/>
            </w:tcMar>
          </w:tcPr>
          <w:p>
            <w:pPr>
              <w:spacing w:after="0" w:line="259" w:lineRule="auto"/>
            </w:pPr>
            <w:r>
              <w:rPr>
                <w:rFonts w:ascii="Arial" w:hAnsi="Arial"/>
                <w:sz w:val="17"/>
              </w:rPr>
              <w:t>Darlehensvertrag Praxisumbau</w:t>
            </w:r>
          </w:p>
        </w:tc>
        <w:tc>
          <w:tcPr>
            <w:tcW w:type="dxa" w:w="3500"/>
            <w:vAlign w:val="center"/>
            <w:tcMar>
              <w:top w:w="90" w:type="dxa"/>
              <w:start w:w="120" w:type="dxa"/>
              <w:bottom w:w="90" w:type="dxa"/>
              <w:end w:w="120" w:type="dxa"/>
            </w:tcMar>
          </w:tcPr>
          <w:p>
            <w:pPr>
              <w:spacing w:after="0" w:line="259" w:lineRule="auto"/>
            </w:pPr>
            <w:r>
              <w:rPr>
                <w:rFonts w:ascii="Arial" w:hAnsi="Arial"/>
                <w:sz w:val="17"/>
              </w:rPr>
              <w:t>ab 2024</w:t>
            </w:r>
          </w:p>
        </w:tc>
      </w:tr>
      <w:tr>
        <w:tc>
          <w:tcPr>
            <w:tcW w:type="dxa" w:w="900"/>
            <w:vAlign w:val="center"/>
            <w:shd w:fill="F2F4F7"/>
            <w:tcMar>
              <w:top w:w="90" w:type="dxa"/>
              <w:start w:w="120" w:type="dxa"/>
              <w:bottom w:w="90" w:type="dxa"/>
              <w:end w:w="120" w:type="dxa"/>
            </w:tcMar>
          </w:tcPr>
          <w:p>
            <w:pPr>
              <w:spacing w:after="0" w:line="259" w:lineRule="auto"/>
            </w:pPr>
            <w:r>
              <w:rPr>
                <w:rFonts w:ascii="Arial" w:hAnsi="Arial"/>
                <w:sz w:val="17"/>
              </w:rPr>
              <w:t>6</w:t>
            </w:r>
          </w:p>
        </w:tc>
        <w:tc>
          <w:tcPr>
            <w:tcW w:type="dxa" w:w="5200"/>
            <w:vAlign w:val="center"/>
            <w:shd w:fill="F2F4F7"/>
            <w:tcMar>
              <w:top w:w="90" w:type="dxa"/>
              <w:start w:w="120" w:type="dxa"/>
              <w:bottom w:w="90" w:type="dxa"/>
              <w:end w:w="120" w:type="dxa"/>
            </w:tcMar>
          </w:tcPr>
          <w:p>
            <w:pPr>
              <w:spacing w:after="0" w:line="259" w:lineRule="auto"/>
            </w:pPr>
            <w:r>
              <w:rPr>
                <w:rFonts w:ascii="Arial" w:hAnsi="Arial"/>
                <w:sz w:val="17"/>
              </w:rPr>
              <w:t>Vorsorgenachweise und Krankenversicherung</w:t>
            </w:r>
          </w:p>
        </w:tc>
        <w:tc>
          <w:tcPr>
            <w:tcW w:type="dxa" w:w="3500"/>
            <w:vAlign w:val="center"/>
            <w:shd w:fill="F2F4F7"/>
            <w:tcMar>
              <w:top w:w="90" w:type="dxa"/>
              <w:start w:w="120" w:type="dxa"/>
              <w:bottom w:w="90" w:type="dxa"/>
              <w:end w:w="120" w:type="dxa"/>
            </w:tcMar>
          </w:tcPr>
          <w:p>
            <w:pPr>
              <w:spacing w:after="0" w:line="259" w:lineRule="auto"/>
            </w:pPr>
            <w:r>
              <w:rPr>
                <w:rFonts w:ascii="Arial" w:hAnsi="Arial"/>
                <w:sz w:val="17"/>
              </w:rPr>
              <w:t>laufend</w:t>
            </w:r>
          </w:p>
        </w:tc>
      </w:tr>
      <w:tr>
        <w:tc>
          <w:tcPr>
            <w:tcW w:type="dxa" w:w="900"/>
            <w:vAlign w:val="center"/>
            <w:tcMar>
              <w:top w:w="90" w:type="dxa"/>
              <w:start w:w="120" w:type="dxa"/>
              <w:bottom w:w="90" w:type="dxa"/>
              <w:end w:w="120" w:type="dxa"/>
            </w:tcMar>
          </w:tcPr>
          <w:p>
            <w:pPr>
              <w:spacing w:after="0" w:line="259" w:lineRule="auto"/>
            </w:pPr>
            <w:r>
              <w:rPr>
                <w:rFonts w:ascii="Arial" w:hAnsi="Arial"/>
                <w:sz w:val="17"/>
              </w:rPr>
              <w:t>7</w:t>
            </w:r>
          </w:p>
        </w:tc>
        <w:tc>
          <w:tcPr>
            <w:tcW w:type="dxa" w:w="5200"/>
            <w:vAlign w:val="center"/>
            <w:tcMar>
              <w:top w:w="90" w:type="dxa"/>
              <w:start w:w="120" w:type="dxa"/>
              <w:bottom w:w="90" w:type="dxa"/>
              <w:end w:w="120" w:type="dxa"/>
            </w:tcMar>
          </w:tcPr>
          <w:p>
            <w:pPr>
              <w:spacing w:after="0" w:line="259" w:lineRule="auto"/>
            </w:pPr>
            <w:r>
              <w:rPr>
                <w:rFonts w:ascii="Arial" w:hAnsi="Arial"/>
                <w:sz w:val="17"/>
              </w:rPr>
              <w:t>Fahrzeugüberlassung und Fahrtenbuchauszug</w:t>
            </w:r>
          </w:p>
        </w:tc>
        <w:tc>
          <w:tcPr>
            <w:tcW w:type="dxa" w:w="3500"/>
            <w:vAlign w:val="center"/>
            <w:tcMar>
              <w:top w:w="90" w:type="dxa"/>
              <w:start w:w="120" w:type="dxa"/>
              <w:bottom w:w="90" w:type="dxa"/>
              <w:end w:w="120" w:type="dxa"/>
            </w:tcMar>
          </w:tcPr>
          <w:p>
            <w:pPr>
              <w:spacing w:after="0" w:line="259" w:lineRule="auto"/>
            </w:pPr>
            <w:r>
              <w:rPr>
                <w:rFonts w:ascii="Arial" w:hAnsi="Arial"/>
                <w:sz w:val="17"/>
              </w:rPr>
              <w:t>2025-2026</w:t>
            </w:r>
          </w:p>
        </w:tc>
      </w:tr>
    </w:tbl>
    <w:p>
      <w:pPr>
        <w:spacing w:after="0"/>
      </w:pPr>
    </w:p>
    <w:p>
      <w:pPr>
        <w:pStyle w:val="Heading1"/>
      </w:pPr>
      <w:r>
        <w:t>3. Erläuterungen</w:t>
      </w:r>
    </w:p>
    <w:p>
      <w:pPr>
        <w:jc w:val="both"/>
      </w:pPr>
      <w:r>
        <w:t>Die Privatentnahmen von durchschnittlich 4.100 Euro monatlich übersteigen zeitweise den laufenden Gewinn, weil 2025 gebildete Liquiditätsreserven eingesetzt wurden. Im April 2026 wurden 6.800 Euro aus einem privaten Darlehen an die Praxis zurückgezahlt. Die Zahlung ist in der BWA nicht als Betriebsausgabe verbucht. Zwei Abbuchungen über zusammen 3.460 Euro für Trainingsgeräte werden bis zur steuerlichen Klärung nicht als endgültig betrieblich behauptet.</w:t>
      </w:r>
    </w:p>
    <w:p>
      <w:pPr>
        <w:pStyle w:val="Heading1"/>
      </w:pPr>
      <w:r>
        <w:t>4. Versicherung</w:t>
      </w:r>
    </w:p>
    <w:p>
      <w:pPr>
        <w:jc w:val="both"/>
      </w:pPr>
      <w:r>
        <w:t>Ich versichere, dass die beigefügten Unterlagen nach meiner Kenntnis vollständig sind. Noch ausstehende Steuerbescheide oder berichtigte Buchungen werde ich unverzüglich nachreichen.</w:t>
      </w:r>
    </w:p>
    <w:p>
      <w:pPr>
        <w:jc w:val="both"/>
      </w:pPr>
      <w:r>
        <w:t>Kiel, 8. Juli 2026 Malte Henning</w:t>
      </w:r>
    </w:p>
    <w:sectPr w:rsidR="00FC693F" w:rsidRPr="0006063C" w:rsidSect="00034616">
      <w:headerReference w:type="default" r:id="rId9"/>
      <w:footerReference w:type="default" r:id="rId10"/>
      <w:pgSz w:w="11906" w:h="16838"/>
      <w:pgMar w:top="1020" w:right="1134" w:bottom="1020" w:left="141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Arial" w:hAnsi="Arial"/>
        <w:color w:val="586069"/>
        <w:sz w:val="16"/>
      </w:rPr>
      <w:t xml:space="preserve">Seite </w:t>
    </w:r>
    <w:r>
      <w:rPr>
        <w:rFonts w:ascii="Arial" w:hAnsi="Arial"/>
        <w:color w:val="586069"/>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color w:val="586069"/>
        <w:sz w:val="16"/>
      </w:rPr>
      <w:t>Physiotherapie Henning  |  PH/Unterhalt/2026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76"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17365D"/>
      <w:sz w:val="25"/>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7365D"/>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160"/>
      <w:contextualSpacing/>
    </w:pPr>
    <w:rPr>
      <w:rFonts w:asciiTheme="majorHAnsi" w:eastAsiaTheme="majorEastAsia" w:hAnsiTheme="majorHAnsi" w:cstheme="majorBidi" w:ascii="Arial" w:hAnsi="Arial"/>
      <w:b/>
      <w:color w:val="17365D"/>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Auskunft über Einkünfte und Belege</dc:title>
  <dc:subject>PH/Unterhalt/2026</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