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17365D"/>
          <w:sz w:val="17"/>
        </w:rPr>
        <w:t>SCHREIBENENTWURF</w:t>
      </w:r>
    </w:p>
    <w:p>
      <w:pPr>
        <w:spacing w:after="40"/>
      </w:pPr>
      <w:r>
        <w:rPr>
          <w:rFonts w:ascii="Arial" w:hAnsi="Arial"/>
          <w:b/>
          <w:sz w:val="25"/>
        </w:rPr>
        <w:t>Kanzlei Förde Familienrecht</w:t>
      </w:r>
    </w:p>
    <w:p>
      <w:pPr>
        <w:spacing w:after="200"/>
      </w:pPr>
      <w:r>
        <w:rPr>
          <w:rFonts w:ascii="Arial" w:hAnsi="Arial"/>
          <w:color w:val="586069"/>
          <w:sz w:val="17"/>
        </w:rPr>
        <w:t>Sophienblatt 46 | 24114 Kiel | Telefon 0431 908620</w:t>
      </w:r>
    </w:p>
    <w:p>
      <w:pPr>
        <w:spacing w:after="160"/>
      </w:pPr>
      <w:r>
        <w:t>Kanzlei Ostsee Recht</w:t>
      </w:r>
    </w:p>
    <w:p>
      <w:pPr>
        <w:spacing w:after="80"/>
      </w:pPr>
      <w:r>
        <w:rPr>
          <w:rFonts w:ascii="Arial" w:hAnsi="Arial"/>
          <w:color w:val="586069"/>
          <w:sz w:val="18"/>
        </w:rPr>
        <w:t>Datum: 10.07.2026  |  Zeichen: FF/26-217 RH</w:t>
      </w:r>
    </w:p>
    <w:p>
      <w:pPr>
        <w:pStyle w:val="Title"/>
      </w:pPr>
      <w:r>
        <w:t>Henning ./. Henning - Auskunft, Zahlung und Betreuung</w:t>
      </w:r>
    </w:p>
    <w:p>
      <w:pPr>
        <w:jc w:val="both"/>
      </w:pPr>
      <w:r>
        <w:t>Sehr geehrter Herr Kollege Voß, die übersandten Unterlagen ermöglichen einen ersten Korridor, aber noch keine abschließende Unterhaltsberechnung. Wir schlagen daher eine befristete Zahlung und einen verbindlichen Tatsachenabgleich vor.</w:t>
      </w:r>
    </w:p>
    <w:p>
      <w:pPr>
        <w:pStyle w:val="Heading1"/>
      </w:pPr>
      <w:r>
        <w:t>1. Auskunftslücken</w:t>
      </w:r>
    </w:p>
    <w:p>
      <w:pPr>
        <w:jc w:val="both"/>
      </w:pPr>
      <w:r>
        <w:t>Bitte reichen Sie die vollständigen Konten, Steuerbescheide, Fahrzeugunterlagen und Nachweise zu Altersvorsorge sowie Praxisdarlehen nach. Zu zwei Geräten ist die private Nutzung zu klären. Unsere Mandantin legt ihrerseits Gehaltsabrechnungen, Bonusvereinbarung, Steuerbescheid und Vorsorgenachweise vor.</w:t>
      </w:r>
    </w:p>
    <w:p>
      <w:pPr>
        <w:pStyle w:val="Heading1"/>
      </w:pPr>
      <w:r>
        <w:t>2. Betreuung</w:t>
      </w:r>
    </w:p>
    <w:p>
      <w:pPr>
        <w:jc w:val="both"/>
      </w:pPr>
      <w:r>
        <w:t>Die Kalender weisen elf Abweichungen auf. Bis 17. Juli sollen beide Eltern ausschließlich mit Belegangabe korrigieren. Betreuungstage, Zusatzbetreuung und bedarfsdeckende Sachleistungen bleiben getrennte Spalten. Das Ergebnis darf nicht vorab als feste Prozentquote bezeichnet werden.</w:t>
      </w:r>
    </w:p>
    <w:p>
      <w:pPr>
        <w:pStyle w:val="Heading1"/>
      </w:pPr>
      <w:r>
        <w:t>3. Vorläufige Zahlung</w:t>
      </w:r>
    </w:p>
    <w:p>
      <w:pPr>
        <w:jc w:val="both"/>
      </w:pPr>
      <w:r>
        <w:t>Unsere Mandantin ist bereit, bis zur vollständigen Berechnung eine monatliche Zahlung von 750 Euro zuzüglich Musikschule und hälftiger unstreitiger Mehrbedarfe zu akzeptieren. Die Zahlung erfolgt unter Anpassungsvorbehalt ab August 2026 und ohne Präjudiz für Rückstände.</w:t>
      </w:r>
    </w:p>
    <w:p>
      <w:pPr>
        <w:pStyle w:val="Heading1"/>
      </w:pPr>
      <w:r>
        <w:t>4. Kinderkosten und Organisation</w:t>
      </w:r>
    </w:p>
    <w:p>
      <w:pPr>
        <w:jc w:val="both"/>
      </w:pPr>
      <w:r>
        <w:t>Klassenfahrt und Hort sind belegt. Für die Kieferorthopädie wird zunächst die Kassenentscheidung eingeholt. Übergaben erfolgen über Schule oder Hort; kurzfristige Änderungen werden im gemeinsamen Kalender dokumentiert. Finanzkommunikation bleibt von den Kindern fern.</w:t>
      </w:r>
    </w:p>
    <w:p>
      <w:pPr>
        <w:jc w:val="both"/>
      </w:pPr>
      <w:r>
        <w:t>Mit freundlichen kollegialen Grüßen Svenja Cordes Rechtsanwältin</w:t>
      </w:r>
    </w:p>
    <w:sectPr w:rsidR="00FC693F" w:rsidRPr="0006063C" w:rsidSect="00034616">
      <w:headerReference w:type="default" r:id="rId9"/>
      <w:footerReference w:type="default" r:id="rId10"/>
      <w:pgSz w:w="11906" w:h="16838"/>
      <w:pgMar w:top="1020" w:right="1134" w:bottom="1020" w:left="141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rial" w:hAnsi="Arial"/>
        <w:color w:val="586069"/>
        <w:sz w:val="16"/>
      </w:rPr>
      <w:t xml:space="preserve">Seite </w:t>
    </w:r>
    <w:r>
      <w:rPr>
        <w:rFonts w:ascii="Arial" w:hAnsi="Arial"/>
        <w:color w:val="586069"/>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color w:val="586069"/>
        <w:sz w:val="16"/>
      </w:rPr>
      <w:t>Kanzlei Förde Familienrecht  |  FF/26-217 RH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17365D"/>
      <w:sz w:val="25"/>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7365D"/>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7365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160"/>
      <w:contextualSpacing/>
    </w:pPr>
    <w:rPr>
      <w:rFonts w:asciiTheme="majorHAnsi" w:eastAsiaTheme="majorEastAsia" w:hAnsiTheme="majorHAnsi" w:cstheme="majorBidi" w:ascii="Arial" w:hAnsi="Arial"/>
      <w:b/>
      <w:color w:val="17365D"/>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Henning ./. Henning - Auskunft, Zahlung und Betreuung</dc:title>
  <dc:subject>FF/26-217 RH</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