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KANZLEIVERMERK</w:t>
      </w:r>
    </w:p>
    <w:p>
      <w:pPr>
        <w:spacing w:after="40"/>
      </w:pPr>
      <w:r>
        <w:rPr>
          <w:rFonts w:ascii="Arial" w:hAnsi="Arial"/>
          <w:b/>
          <w:sz w:val="25"/>
        </w:rPr>
        <w:t>Kanzlei Donau Familienrecht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Nibelungenplatz 4 | 94032 Passau | Telefon 0851 702480</w:t>
      </w:r>
    </w:p>
    <w:p>
      <w:pPr>
        <w:spacing w:after="160"/>
      </w:pPr>
      <w:r>
        <w:t>Intern - elektronische Handakte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17.06.2026  |  Zeichen: DF/26-164 MK</w:t>
      </w:r>
    </w:p>
    <w:p>
      <w:pPr>
        <w:pStyle w:val="Title"/>
      </w:pPr>
      <w:r>
        <w:t>Mandatsnotiz Krammer - Zugewinn und Vermögensauskunft</w:t>
      </w:r>
    </w:p>
    <w:p>
      <w:pPr>
        <w:jc w:val="both"/>
      </w:pPr>
      <w:r>
        <w:t>Dr. Milena Krammer erschien mit Notarvertrag, Erbschein ihrer Mutter, Kontoauszügen und Screenshots einer Wallet-Anwendung. Der Scheidungsantrag wurde nach Mitteilung des Gerichts am 12. Februar 2026 zugestellt. Dieser Zustellungsbeleg ist für den Endvermögensstichtag gesondert zu sichern.</w:t>
      </w:r>
    </w:p>
    <w:p>
      <w:pPr>
        <w:pStyle w:val="Heading1"/>
      </w:pPr>
      <w:r>
        <w:t>1. Vermögenskomplexe</w:t>
      </w:r>
    </w:p>
    <w:p>
      <w:pPr>
        <w:jc w:val="both"/>
      </w:pPr>
      <w:r>
        <w:t>Die Eheleute heirateten am 12. September 2012. Milena erbte am 1. Juni 2018 95.000 Euro. 2022 erwarben beide zu je ein Halb eine Ferienwohnung in Bodenmais für 420.000 Euro; 116.000 Euro Eigenmittel und ein Darlehen über 310.000 Euro finanzierten Kauf und Nebenkosten. 2023 folgte eine Renovierung über 58.400 Euro.</w:t>
      </w:r>
    </w:p>
    <w:p>
      <w:pPr>
        <w:jc w:val="both"/>
      </w:pPr>
      <w:r>
        <w:t>Milena betreibt eine Zahnarztpraxis. Sebastian arbeitet als selbstständiger IT-Berater und hielt digitale Vermögenswerte. Im Dezember 2025 wurden mehrere Einheiten an unbekannte Adressen übertragen. Ein gemeinsames Depot wurde im Februar 2026 teilweise liquidiert und zur Darlehenstilgung eingesetzt.</w:t>
      </w:r>
    </w:p>
    <w:p>
      <w:pPr>
        <w:pStyle w:val="Heading1"/>
      </w:pPr>
      <w:r>
        <w:t>2. Streit</w:t>
      </w:r>
    </w:p>
    <w:p>
      <w:pPr>
        <w:jc w:val="both"/>
      </w:pPr>
      <w:r>
        <w:t>Milena behauptet, ihr Erbe sei nachvollziehbar in Eigenkapital und Renovierung geflossen. Sebastian bestreitet eine Zweckbindung und verweist auf gemeinsamen Konsum. Er hält die Wallet-Überträge für Umschichtungen zwischen eigenen Adressen und nicht für illoyale Vermögensminderungen. Praxiswert, Ferienwohnung, Darlehensstand und Haushaltsgegenstände sind ebenfalls streitig.</w:t>
      </w:r>
    </w:p>
    <w:p>
      <w:pPr>
        <w:pStyle w:val="Heading1"/>
      </w:pPr>
      <w:r>
        <w:t>3. Ziel und Sicherung</w:t>
      </w:r>
    </w:p>
    <w:p>
      <w:pPr>
        <w:jc w:val="both"/>
      </w:pPr>
      <w:r>
        <w:t>Zunächst werden Anfangs- und Endvermögen beider Seiten vollständig und stichtagsbezogen verlangt. Wallet-Exports sollen im Originalformat mit Transaktionshash, Börsenkonto, Gegenadresse und Kursquelle vorgelegt werden. Eine Sicherungsmaßnahme wird nur bei konkret belegter weiterer Verfügung und nach Verhältnismäßigkeitsprüfung vorbereitet.</w:t>
      </w:r>
    </w:p>
    <w:p>
      <w:pPr>
        <w:pStyle w:val="Heading1"/>
      </w:pPr>
      <w:r>
        <w:t>4. Bewertungslogik</w:t>
      </w:r>
    </w:p>
    <w:p>
      <w:pPr>
        <w:jc w:val="both"/>
      </w:pPr>
      <w:r>
        <w:t>Privilegierter Erwerb, Surrogation, Indexierung, illoyale Vermögensminderung und normale Lebensführung werden nicht vermischt. Für die offene Forderungsliste der Praxis wird BGH XII ZB 508/23 berücksichtigt: Die Liste gehört zur Auskunft, ohne dass jede Position bereits bewiesen sein muss. Immobilien- und Praxiswerte werden durch getrennte Sachverständige erhoben.</w:t>
      </w:r>
    </w:p>
    <w:p>
      <w:pPr>
        <w:jc w:val="both"/>
      </w:pPr>
      <w:r>
        <w:t>Bearbeiter: Rechtsanwalt Florian Auer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Kanzlei Donau Familienrecht  |  DF/26-164 MK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Mandatsnotiz Krammer - Zugewinn und Vermögensauskunft</dc:title>
  <dc:subject>DF/26-164 MK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