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ARBEITSCHRONOLOGIE</w:t>
      </w:r>
    </w:p>
    <w:p>
      <w:pPr>
        <w:spacing w:after="40"/>
      </w:pPr>
      <w:r>
        <w:rPr>
          <w:rFonts w:ascii="Arial" w:hAnsi="Arial"/>
          <w:b/>
          <w:sz w:val="25"/>
        </w:rPr>
        <w:t>Kanzlei Donau Familienrecht</w:t>
      </w:r>
    </w:p>
    <w:p>
      <w:pPr>
        <w:spacing w:after="200"/>
      </w:pPr>
      <w:r>
        <w:rPr>
          <w:rFonts w:ascii="Arial" w:hAnsi="Arial"/>
          <w:color w:val="586069"/>
          <w:sz w:val="17"/>
        </w:rPr>
        <w:t>Nibelungenplatz 4 | 94032 Passau | Telefon 0851 702480</w:t>
      </w:r>
    </w:p>
    <w:p>
      <w:pPr>
        <w:spacing w:after="160"/>
      </w:pPr>
      <w:r>
        <w:t>Intern - elektronische Handakte</w:t>
      </w:r>
    </w:p>
    <w:p>
      <w:pPr>
        <w:spacing w:after="80"/>
      </w:pPr>
      <w:r>
        <w:rPr>
          <w:rFonts w:ascii="Arial" w:hAnsi="Arial"/>
          <w:color w:val="586069"/>
          <w:sz w:val="18"/>
        </w:rPr>
        <w:t>Datum: 19.06.2026  |  Zeichen: DF/26-164 MK</w:t>
      </w:r>
    </w:p>
    <w:p>
      <w:pPr>
        <w:pStyle w:val="Title"/>
      </w:pPr>
      <w:r>
        <w:t>Chronologie und Stichtage</w:t>
      </w:r>
    </w:p>
    <w:p>
      <w:pPr>
        <w:jc w:val="both"/>
      </w:pPr>
      <w:r>
        <w:t>Jeder Vermögensvorgang wird einem gesetzlichen oder tatsächlichen Stichtag zugeordnet. Der Trennungszeitpunkt ersetzt nicht den Endvermögensstichtag.</w:t>
      </w:r>
    </w:p>
    <w:p>
      <w:pPr>
        <w:pStyle w:val="Heading1"/>
      </w:pPr>
      <w:r>
        <w:t>1. Zeitachse</w:t>
      </w:r>
    </w:p>
    <w:tbl>
      <w:tblPr>
        <w:tblStyle w:val="TableGrid"/>
        <w:tblW w:type="dxa" w:w="9600"/>
        <w:tblLayout w:type="fixed"/>
        <w:tblLook w:firstColumn="1" w:firstRow="1" w:lastColumn="0" w:lastRow="0" w:noHBand="0" w:noVBand="1" w:val="04A0"/>
        <w:tblInd w:w="120" w:type="dxa"/>
      </w:tblPr>
      <w:tblGrid>
        <w:gridCol w:w="1500"/>
        <w:gridCol w:w="3000"/>
        <w:gridCol w:w="2600"/>
        <w:gridCol w:w="2500"/>
      </w:tblGrid>
      <w:tr>
        <w:trPr>
          <w:tblHeader w:val="true"/>
        </w:trPr>
        <w:tc>
          <w:tcPr>
            <w:tcW w:type="dxa" w:w="1500"/>
            <w:vAlign w:val="center"/>
            <w:shd w:fill="DCE6F1"/>
            <w:tcMar>
              <w:top w:w="90" w:type="dxa"/>
              <w:start w:w="120" w:type="dxa"/>
              <w:bottom w:w="90" w:type="dxa"/>
              <w:end w:w="120" w:type="dxa"/>
            </w:tcMar>
          </w:tcPr>
          <w:p>
            <w:pPr>
              <w:spacing w:after="0"/>
            </w:pPr>
            <w:r>
              <w:rPr>
                <w:rFonts w:ascii="Arial" w:hAnsi="Arial"/>
                <w:b/>
                <w:sz w:val="18"/>
              </w:rPr>
              <w:t>Datum</w:t>
            </w:r>
          </w:p>
        </w:tc>
        <w:tc>
          <w:tcPr>
            <w:tcW w:type="dxa" w:w="3000"/>
            <w:vAlign w:val="center"/>
            <w:shd w:fill="DCE6F1"/>
            <w:tcMar>
              <w:top w:w="90" w:type="dxa"/>
              <w:start w:w="120" w:type="dxa"/>
              <w:bottom w:w="90" w:type="dxa"/>
              <w:end w:w="120" w:type="dxa"/>
            </w:tcMar>
          </w:tcPr>
          <w:p>
            <w:pPr>
              <w:spacing w:after="0"/>
            </w:pPr>
            <w:r>
              <w:rPr>
                <w:rFonts w:ascii="Arial" w:hAnsi="Arial"/>
                <w:b/>
                <w:sz w:val="18"/>
              </w:rPr>
              <w:t>Vorgang</w:t>
            </w:r>
          </w:p>
        </w:tc>
        <w:tc>
          <w:tcPr>
            <w:tcW w:type="dxa" w:w="2600"/>
            <w:vAlign w:val="center"/>
            <w:shd w:fill="DCE6F1"/>
            <w:tcMar>
              <w:top w:w="90" w:type="dxa"/>
              <w:start w:w="120" w:type="dxa"/>
              <w:bottom w:w="90" w:type="dxa"/>
              <w:end w:w="120" w:type="dxa"/>
            </w:tcMar>
          </w:tcPr>
          <w:p>
            <w:pPr>
              <w:spacing w:after="0"/>
            </w:pPr>
            <w:r>
              <w:rPr>
                <w:rFonts w:ascii="Arial" w:hAnsi="Arial"/>
                <w:b/>
                <w:sz w:val="18"/>
              </w:rPr>
              <w:t>Beleg</w:t>
            </w:r>
          </w:p>
        </w:tc>
        <w:tc>
          <w:tcPr>
            <w:tcW w:type="dxa" w:w="2500"/>
            <w:vAlign w:val="center"/>
            <w:shd w:fill="DCE6F1"/>
            <w:tcMar>
              <w:top w:w="90" w:type="dxa"/>
              <w:start w:w="120" w:type="dxa"/>
              <w:bottom w:w="90" w:type="dxa"/>
              <w:end w:w="120" w:type="dxa"/>
            </w:tcMar>
          </w:tcPr>
          <w:p>
            <w:pPr>
              <w:spacing w:after="0"/>
            </w:pPr>
            <w:r>
              <w:rPr>
                <w:rFonts w:ascii="Arial" w:hAnsi="Arial"/>
                <w:b/>
                <w:sz w:val="18"/>
              </w:rPr>
              <w:t>Prüfpunkt</w:t>
            </w:r>
          </w:p>
        </w:tc>
      </w:tr>
      <w:tr>
        <w:tc>
          <w:tcPr>
            <w:tcW w:type="dxa" w:w="1500"/>
            <w:vAlign w:val="center"/>
            <w:tcMar>
              <w:top w:w="90" w:type="dxa"/>
              <w:start w:w="120" w:type="dxa"/>
              <w:bottom w:w="90" w:type="dxa"/>
              <w:end w:w="120" w:type="dxa"/>
            </w:tcMar>
          </w:tcPr>
          <w:p>
            <w:pPr>
              <w:spacing w:after="0" w:line="259" w:lineRule="auto"/>
            </w:pPr>
            <w:r>
              <w:rPr>
                <w:rFonts w:ascii="Arial" w:hAnsi="Arial"/>
                <w:sz w:val="17"/>
              </w:rPr>
              <w:t>12.09.2012</w:t>
            </w:r>
          </w:p>
        </w:tc>
        <w:tc>
          <w:tcPr>
            <w:tcW w:type="dxa" w:w="3000"/>
            <w:vAlign w:val="center"/>
            <w:tcMar>
              <w:top w:w="90" w:type="dxa"/>
              <w:start w:w="120" w:type="dxa"/>
              <w:bottom w:w="90" w:type="dxa"/>
              <w:end w:w="120" w:type="dxa"/>
            </w:tcMar>
          </w:tcPr>
          <w:p>
            <w:pPr>
              <w:spacing w:after="0" w:line="259" w:lineRule="auto"/>
            </w:pPr>
            <w:r>
              <w:rPr>
                <w:rFonts w:ascii="Arial" w:hAnsi="Arial"/>
                <w:sz w:val="17"/>
              </w:rPr>
              <w:t>Eheschließung</w:t>
            </w:r>
          </w:p>
        </w:tc>
        <w:tc>
          <w:tcPr>
            <w:tcW w:type="dxa" w:w="2600"/>
            <w:vAlign w:val="center"/>
            <w:tcMar>
              <w:top w:w="90" w:type="dxa"/>
              <w:start w:w="120" w:type="dxa"/>
              <w:bottom w:w="90" w:type="dxa"/>
              <w:end w:w="120" w:type="dxa"/>
            </w:tcMar>
          </w:tcPr>
          <w:p>
            <w:pPr>
              <w:spacing w:after="0" w:line="259" w:lineRule="auto"/>
            </w:pPr>
            <w:r>
              <w:rPr>
                <w:rFonts w:ascii="Arial" w:hAnsi="Arial"/>
                <w:sz w:val="17"/>
              </w:rPr>
              <w:t>Eheurkunde</w:t>
            </w:r>
          </w:p>
        </w:tc>
        <w:tc>
          <w:tcPr>
            <w:tcW w:type="dxa" w:w="2500"/>
            <w:vAlign w:val="center"/>
            <w:tcMar>
              <w:top w:w="90" w:type="dxa"/>
              <w:start w:w="120" w:type="dxa"/>
              <w:bottom w:w="90" w:type="dxa"/>
              <w:end w:w="120" w:type="dxa"/>
            </w:tcMar>
          </w:tcPr>
          <w:p>
            <w:pPr>
              <w:spacing w:after="0" w:line="259" w:lineRule="auto"/>
            </w:pPr>
            <w:r>
              <w:rPr>
                <w:rFonts w:ascii="Arial" w:hAnsi="Arial"/>
                <w:sz w:val="17"/>
              </w:rPr>
              <w:t>Anfangsvermögen</w:t>
            </w:r>
          </w:p>
        </w:tc>
      </w:tr>
      <w:tr>
        <w:tc>
          <w:tcPr>
            <w:tcW w:type="dxa" w:w="1500"/>
            <w:vAlign w:val="center"/>
            <w:shd w:fill="F2F4F7"/>
            <w:tcMar>
              <w:top w:w="90" w:type="dxa"/>
              <w:start w:w="120" w:type="dxa"/>
              <w:bottom w:w="90" w:type="dxa"/>
              <w:end w:w="120" w:type="dxa"/>
            </w:tcMar>
          </w:tcPr>
          <w:p>
            <w:pPr>
              <w:spacing w:after="0" w:line="259" w:lineRule="auto"/>
            </w:pPr>
            <w:r>
              <w:rPr>
                <w:rFonts w:ascii="Arial" w:hAnsi="Arial"/>
                <w:sz w:val="17"/>
              </w:rPr>
              <w:t>01.06.2018</w:t>
            </w:r>
          </w:p>
        </w:tc>
        <w:tc>
          <w:tcPr>
            <w:tcW w:type="dxa" w:w="3000"/>
            <w:vAlign w:val="center"/>
            <w:shd w:fill="F2F4F7"/>
            <w:tcMar>
              <w:top w:w="90" w:type="dxa"/>
              <w:start w:w="120" w:type="dxa"/>
              <w:bottom w:w="90" w:type="dxa"/>
              <w:end w:w="120" w:type="dxa"/>
            </w:tcMar>
          </w:tcPr>
          <w:p>
            <w:pPr>
              <w:spacing w:after="0" w:line="259" w:lineRule="auto"/>
            </w:pPr>
            <w:r>
              <w:rPr>
                <w:rFonts w:ascii="Arial" w:hAnsi="Arial"/>
                <w:sz w:val="17"/>
              </w:rPr>
              <w:t>Erbschaft Milena 95.000 EUR</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Erbschein und Konto</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privilegierter Erwerb / Verwendung</w:t>
            </w:r>
          </w:p>
        </w:tc>
      </w:tr>
      <w:tr>
        <w:tc>
          <w:tcPr>
            <w:tcW w:type="dxa" w:w="1500"/>
            <w:vAlign w:val="center"/>
            <w:tcMar>
              <w:top w:w="90" w:type="dxa"/>
              <w:start w:w="120" w:type="dxa"/>
              <w:bottom w:w="90" w:type="dxa"/>
              <w:end w:w="120" w:type="dxa"/>
            </w:tcMar>
          </w:tcPr>
          <w:p>
            <w:pPr>
              <w:spacing w:after="0" w:line="259" w:lineRule="auto"/>
            </w:pPr>
            <w:r>
              <w:rPr>
                <w:rFonts w:ascii="Arial" w:hAnsi="Arial"/>
                <w:sz w:val="17"/>
              </w:rPr>
              <w:t>15.04.2022</w:t>
            </w:r>
          </w:p>
        </w:tc>
        <w:tc>
          <w:tcPr>
            <w:tcW w:type="dxa" w:w="3000"/>
            <w:vAlign w:val="center"/>
            <w:tcMar>
              <w:top w:w="90" w:type="dxa"/>
              <w:start w:w="120" w:type="dxa"/>
              <w:bottom w:w="90" w:type="dxa"/>
              <w:end w:w="120" w:type="dxa"/>
            </w:tcMar>
          </w:tcPr>
          <w:p>
            <w:pPr>
              <w:spacing w:after="0" w:line="259" w:lineRule="auto"/>
            </w:pPr>
            <w:r>
              <w:rPr>
                <w:rFonts w:ascii="Arial" w:hAnsi="Arial"/>
                <w:sz w:val="17"/>
              </w:rPr>
              <w:t>Kauf Ferienwohnung Bodenmais</w:t>
            </w:r>
          </w:p>
        </w:tc>
        <w:tc>
          <w:tcPr>
            <w:tcW w:type="dxa" w:w="2600"/>
            <w:vAlign w:val="center"/>
            <w:tcMar>
              <w:top w:w="90" w:type="dxa"/>
              <w:start w:w="120" w:type="dxa"/>
              <w:bottom w:w="90" w:type="dxa"/>
              <w:end w:w="120" w:type="dxa"/>
            </w:tcMar>
          </w:tcPr>
          <w:p>
            <w:pPr>
              <w:spacing w:after="0" w:line="259" w:lineRule="auto"/>
            </w:pPr>
            <w:r>
              <w:rPr>
                <w:rFonts w:ascii="Arial" w:hAnsi="Arial"/>
                <w:sz w:val="17"/>
              </w:rPr>
              <w:t>UR 322/2022</w:t>
            </w:r>
          </w:p>
        </w:tc>
        <w:tc>
          <w:tcPr>
            <w:tcW w:type="dxa" w:w="2500"/>
            <w:vAlign w:val="center"/>
            <w:tcMar>
              <w:top w:w="90" w:type="dxa"/>
              <w:start w:w="120" w:type="dxa"/>
              <w:bottom w:w="90" w:type="dxa"/>
              <w:end w:w="120" w:type="dxa"/>
            </w:tcMar>
          </w:tcPr>
          <w:p>
            <w:pPr>
              <w:spacing w:after="0" w:line="259" w:lineRule="auto"/>
            </w:pPr>
            <w:r>
              <w:rPr>
                <w:rFonts w:ascii="Arial" w:hAnsi="Arial"/>
                <w:sz w:val="17"/>
              </w:rPr>
              <w:t>Eigenmittel und Darlehen</w:t>
            </w:r>
          </w:p>
        </w:tc>
      </w:tr>
      <w:tr>
        <w:tc>
          <w:tcPr>
            <w:tcW w:type="dxa" w:w="1500"/>
            <w:vAlign w:val="center"/>
            <w:shd w:fill="F2F4F7"/>
            <w:tcMar>
              <w:top w:w="90" w:type="dxa"/>
              <w:start w:w="120" w:type="dxa"/>
              <w:bottom w:w="90" w:type="dxa"/>
              <w:end w:w="120" w:type="dxa"/>
            </w:tcMar>
          </w:tcPr>
          <w:p>
            <w:pPr>
              <w:spacing w:after="0" w:line="259" w:lineRule="auto"/>
            </w:pPr>
            <w:r>
              <w:rPr>
                <w:rFonts w:ascii="Arial" w:hAnsi="Arial"/>
                <w:sz w:val="17"/>
              </w:rPr>
              <w:t>08-11/2023</w:t>
            </w:r>
          </w:p>
        </w:tc>
        <w:tc>
          <w:tcPr>
            <w:tcW w:type="dxa" w:w="3000"/>
            <w:vAlign w:val="center"/>
            <w:shd w:fill="F2F4F7"/>
            <w:tcMar>
              <w:top w:w="90" w:type="dxa"/>
              <w:start w:w="120" w:type="dxa"/>
              <w:bottom w:w="90" w:type="dxa"/>
              <w:end w:w="120" w:type="dxa"/>
            </w:tcMar>
          </w:tcPr>
          <w:p>
            <w:pPr>
              <w:spacing w:after="0" w:line="259" w:lineRule="auto"/>
            </w:pPr>
            <w:r>
              <w:rPr>
                <w:rFonts w:ascii="Arial" w:hAnsi="Arial"/>
                <w:sz w:val="17"/>
              </w:rPr>
              <w:t>Renovierung 58.400 EUR</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Rechnungen</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Zahlungsquelle</w:t>
            </w:r>
          </w:p>
        </w:tc>
      </w:tr>
      <w:tr>
        <w:tc>
          <w:tcPr>
            <w:tcW w:type="dxa" w:w="1500"/>
            <w:vAlign w:val="center"/>
            <w:tcMar>
              <w:top w:w="90" w:type="dxa"/>
              <w:start w:w="120" w:type="dxa"/>
              <w:bottom w:w="90" w:type="dxa"/>
              <w:end w:w="120" w:type="dxa"/>
            </w:tcMar>
          </w:tcPr>
          <w:p>
            <w:pPr>
              <w:spacing w:after="0" w:line="259" w:lineRule="auto"/>
            </w:pPr>
            <w:r>
              <w:rPr>
                <w:rFonts w:ascii="Arial" w:hAnsi="Arial"/>
                <w:sz w:val="17"/>
              </w:rPr>
              <w:t>20.12.2025</w:t>
            </w:r>
          </w:p>
        </w:tc>
        <w:tc>
          <w:tcPr>
            <w:tcW w:type="dxa" w:w="3000"/>
            <w:vAlign w:val="center"/>
            <w:tcMar>
              <w:top w:w="90" w:type="dxa"/>
              <w:start w:w="120" w:type="dxa"/>
              <w:bottom w:w="90" w:type="dxa"/>
              <w:end w:w="120" w:type="dxa"/>
            </w:tcMar>
          </w:tcPr>
          <w:p>
            <w:pPr>
              <w:spacing w:after="0" w:line="259" w:lineRule="auto"/>
            </w:pPr>
            <w:r>
              <w:rPr>
                <w:rFonts w:ascii="Arial" w:hAnsi="Arial"/>
                <w:sz w:val="17"/>
              </w:rPr>
              <w:t>Trennung</w:t>
            </w:r>
          </w:p>
        </w:tc>
        <w:tc>
          <w:tcPr>
            <w:tcW w:type="dxa" w:w="2600"/>
            <w:vAlign w:val="center"/>
            <w:tcMar>
              <w:top w:w="90" w:type="dxa"/>
              <w:start w:w="120" w:type="dxa"/>
              <w:bottom w:w="90" w:type="dxa"/>
              <w:end w:w="120" w:type="dxa"/>
            </w:tcMar>
          </w:tcPr>
          <w:p>
            <w:pPr>
              <w:spacing w:after="0" w:line="259" w:lineRule="auto"/>
            </w:pPr>
            <w:r>
              <w:rPr>
                <w:rFonts w:ascii="Arial" w:hAnsi="Arial"/>
                <w:sz w:val="17"/>
              </w:rPr>
              <w:t>Anwaltsschreiben</w:t>
            </w:r>
          </w:p>
        </w:tc>
        <w:tc>
          <w:tcPr>
            <w:tcW w:type="dxa" w:w="2500"/>
            <w:vAlign w:val="center"/>
            <w:tcMar>
              <w:top w:w="90" w:type="dxa"/>
              <w:start w:w="120" w:type="dxa"/>
              <w:bottom w:w="90" w:type="dxa"/>
              <w:end w:w="120" w:type="dxa"/>
            </w:tcMar>
          </w:tcPr>
          <w:p>
            <w:pPr>
              <w:spacing w:after="0" w:line="259" w:lineRule="auto"/>
            </w:pPr>
            <w:r>
              <w:rPr>
                <w:rFonts w:ascii="Arial" w:hAnsi="Arial"/>
                <w:sz w:val="17"/>
              </w:rPr>
              <w:t>Vermögensbewegungen ab diesem Datum</w:t>
            </w:r>
          </w:p>
        </w:tc>
      </w:tr>
      <w:tr>
        <w:tc>
          <w:tcPr>
            <w:tcW w:type="dxa" w:w="1500"/>
            <w:vAlign w:val="center"/>
            <w:shd w:fill="F2F4F7"/>
            <w:tcMar>
              <w:top w:w="90" w:type="dxa"/>
              <w:start w:w="120" w:type="dxa"/>
              <w:bottom w:w="90" w:type="dxa"/>
              <w:end w:w="120" w:type="dxa"/>
            </w:tcMar>
          </w:tcPr>
          <w:p>
            <w:pPr>
              <w:spacing w:after="0" w:line="259" w:lineRule="auto"/>
            </w:pPr>
            <w:r>
              <w:rPr>
                <w:rFonts w:ascii="Arial" w:hAnsi="Arial"/>
                <w:sz w:val="17"/>
              </w:rPr>
              <w:t>22.-29.12.2025</w:t>
            </w:r>
          </w:p>
        </w:tc>
        <w:tc>
          <w:tcPr>
            <w:tcW w:type="dxa" w:w="3000"/>
            <w:vAlign w:val="center"/>
            <w:shd w:fill="F2F4F7"/>
            <w:tcMar>
              <w:top w:w="90" w:type="dxa"/>
              <w:start w:w="120" w:type="dxa"/>
              <w:bottom w:w="90" w:type="dxa"/>
              <w:end w:w="120" w:type="dxa"/>
            </w:tcMar>
          </w:tcPr>
          <w:p>
            <w:pPr>
              <w:spacing w:after="0" w:line="259" w:lineRule="auto"/>
            </w:pPr>
            <w:r>
              <w:rPr>
                <w:rFonts w:ascii="Arial" w:hAnsi="Arial"/>
                <w:sz w:val="17"/>
              </w:rPr>
              <w:t>Wallet-Transfers</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Screenshots / CSV</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Inhaber und Gegenadressen</w:t>
            </w:r>
          </w:p>
        </w:tc>
      </w:tr>
      <w:tr>
        <w:tc>
          <w:tcPr>
            <w:tcW w:type="dxa" w:w="1500"/>
            <w:vAlign w:val="center"/>
            <w:tcMar>
              <w:top w:w="90" w:type="dxa"/>
              <w:start w:w="120" w:type="dxa"/>
              <w:bottom w:w="90" w:type="dxa"/>
              <w:end w:w="120" w:type="dxa"/>
            </w:tcMar>
          </w:tcPr>
          <w:p>
            <w:pPr>
              <w:spacing w:after="0" w:line="259" w:lineRule="auto"/>
            </w:pPr>
            <w:r>
              <w:rPr>
                <w:rFonts w:ascii="Arial" w:hAnsi="Arial"/>
                <w:sz w:val="17"/>
              </w:rPr>
              <w:t>12.02.2026</w:t>
            </w:r>
          </w:p>
        </w:tc>
        <w:tc>
          <w:tcPr>
            <w:tcW w:type="dxa" w:w="3000"/>
            <w:vAlign w:val="center"/>
            <w:tcMar>
              <w:top w:w="90" w:type="dxa"/>
              <w:start w:w="120" w:type="dxa"/>
              <w:bottom w:w="90" w:type="dxa"/>
              <w:end w:w="120" w:type="dxa"/>
            </w:tcMar>
          </w:tcPr>
          <w:p>
            <w:pPr>
              <w:spacing w:after="0" w:line="259" w:lineRule="auto"/>
            </w:pPr>
            <w:r>
              <w:rPr>
                <w:rFonts w:ascii="Arial" w:hAnsi="Arial"/>
                <w:sz w:val="17"/>
              </w:rPr>
              <w:t>Zustellung Scheidungsantrag</w:t>
            </w:r>
          </w:p>
        </w:tc>
        <w:tc>
          <w:tcPr>
            <w:tcW w:type="dxa" w:w="2600"/>
            <w:vAlign w:val="center"/>
            <w:tcMar>
              <w:top w:w="90" w:type="dxa"/>
              <w:start w:w="120" w:type="dxa"/>
              <w:bottom w:w="90" w:type="dxa"/>
              <w:end w:w="120" w:type="dxa"/>
            </w:tcMar>
          </w:tcPr>
          <w:p>
            <w:pPr>
              <w:spacing w:after="0" w:line="259" w:lineRule="auto"/>
            </w:pPr>
            <w:r>
              <w:rPr>
                <w:rFonts w:ascii="Arial" w:hAnsi="Arial"/>
                <w:sz w:val="17"/>
              </w:rPr>
              <w:t>Gerichtliche Bescheinigung</w:t>
            </w:r>
          </w:p>
        </w:tc>
        <w:tc>
          <w:tcPr>
            <w:tcW w:type="dxa" w:w="2500"/>
            <w:vAlign w:val="center"/>
            <w:tcMar>
              <w:top w:w="90" w:type="dxa"/>
              <w:start w:w="120" w:type="dxa"/>
              <w:bottom w:w="90" w:type="dxa"/>
              <w:end w:w="120" w:type="dxa"/>
            </w:tcMar>
          </w:tcPr>
          <w:p>
            <w:pPr>
              <w:spacing w:after="0" w:line="259" w:lineRule="auto"/>
            </w:pPr>
            <w:r>
              <w:rPr>
                <w:rFonts w:ascii="Arial" w:hAnsi="Arial"/>
                <w:sz w:val="17"/>
              </w:rPr>
              <w:t>Endvermögensstichtag</w:t>
            </w:r>
          </w:p>
        </w:tc>
      </w:tr>
      <w:tr>
        <w:tc>
          <w:tcPr>
            <w:tcW w:type="dxa" w:w="1500"/>
            <w:vAlign w:val="center"/>
            <w:shd w:fill="F2F4F7"/>
            <w:tcMar>
              <w:top w:w="90" w:type="dxa"/>
              <w:start w:w="120" w:type="dxa"/>
              <w:bottom w:w="90" w:type="dxa"/>
              <w:end w:w="120" w:type="dxa"/>
            </w:tcMar>
          </w:tcPr>
          <w:p>
            <w:pPr>
              <w:spacing w:after="0" w:line="259" w:lineRule="auto"/>
            </w:pPr>
            <w:r>
              <w:rPr>
                <w:rFonts w:ascii="Arial" w:hAnsi="Arial"/>
                <w:sz w:val="17"/>
              </w:rPr>
              <w:t>19.02.2026</w:t>
            </w:r>
          </w:p>
        </w:tc>
        <w:tc>
          <w:tcPr>
            <w:tcW w:type="dxa" w:w="3000"/>
            <w:vAlign w:val="center"/>
            <w:shd w:fill="F2F4F7"/>
            <w:tcMar>
              <w:top w:w="90" w:type="dxa"/>
              <w:start w:w="120" w:type="dxa"/>
              <w:bottom w:w="90" w:type="dxa"/>
              <w:end w:w="120" w:type="dxa"/>
            </w:tcMar>
          </w:tcPr>
          <w:p>
            <w:pPr>
              <w:spacing w:after="0" w:line="259" w:lineRule="auto"/>
            </w:pPr>
            <w:r>
              <w:rPr>
                <w:rFonts w:ascii="Arial" w:hAnsi="Arial"/>
                <w:sz w:val="17"/>
              </w:rPr>
              <w:t>Depotliquidation / Sondertilgung</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Bankbeleg</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nach Stichtag, aber Bewertungsbeleg</w:t>
            </w:r>
          </w:p>
        </w:tc>
      </w:tr>
      <w:tr>
        <w:tc>
          <w:tcPr>
            <w:tcW w:type="dxa" w:w="1500"/>
            <w:vAlign w:val="center"/>
            <w:tcMar>
              <w:top w:w="90" w:type="dxa"/>
              <w:start w:w="120" w:type="dxa"/>
              <w:bottom w:w="90" w:type="dxa"/>
              <w:end w:w="120" w:type="dxa"/>
            </w:tcMar>
          </w:tcPr>
          <w:p>
            <w:pPr>
              <w:spacing w:after="0" w:line="259" w:lineRule="auto"/>
            </w:pPr>
            <w:r>
              <w:rPr>
                <w:rFonts w:ascii="Arial" w:hAnsi="Arial"/>
                <w:sz w:val="17"/>
              </w:rPr>
              <w:t>14.06.2026</w:t>
            </w:r>
          </w:p>
        </w:tc>
        <w:tc>
          <w:tcPr>
            <w:tcW w:type="dxa" w:w="3000"/>
            <w:vAlign w:val="center"/>
            <w:tcMar>
              <w:top w:w="90" w:type="dxa"/>
              <w:start w:w="120" w:type="dxa"/>
              <w:bottom w:w="90" w:type="dxa"/>
              <w:end w:w="120" w:type="dxa"/>
            </w:tcMar>
          </w:tcPr>
          <w:p>
            <w:pPr>
              <w:spacing w:after="0" w:line="259" w:lineRule="auto"/>
            </w:pPr>
            <w:r>
              <w:rPr>
                <w:rFonts w:ascii="Arial" w:hAnsi="Arial"/>
                <w:sz w:val="17"/>
              </w:rPr>
              <w:t>Auskunftsaufforderung</w:t>
            </w:r>
          </w:p>
        </w:tc>
        <w:tc>
          <w:tcPr>
            <w:tcW w:type="dxa" w:w="2600"/>
            <w:vAlign w:val="center"/>
            <w:tcMar>
              <w:top w:w="90" w:type="dxa"/>
              <w:start w:w="120" w:type="dxa"/>
              <w:bottom w:w="90" w:type="dxa"/>
              <w:end w:w="120" w:type="dxa"/>
            </w:tcMar>
          </w:tcPr>
          <w:p>
            <w:pPr>
              <w:spacing w:after="0" w:line="259" w:lineRule="auto"/>
            </w:pPr>
            <w:r>
              <w:rPr>
                <w:rFonts w:ascii="Arial" w:hAnsi="Arial"/>
                <w:sz w:val="17"/>
              </w:rPr>
              <w:t>Anwaltsschreiben</w:t>
            </w:r>
          </w:p>
        </w:tc>
        <w:tc>
          <w:tcPr>
            <w:tcW w:type="dxa" w:w="2500"/>
            <w:vAlign w:val="center"/>
            <w:tcMar>
              <w:top w:w="90" w:type="dxa"/>
              <w:start w:w="120" w:type="dxa"/>
              <w:bottom w:w="90" w:type="dxa"/>
              <w:end w:w="120" w:type="dxa"/>
            </w:tcMar>
          </w:tcPr>
          <w:p>
            <w:pPr>
              <w:spacing w:after="0" w:line="259" w:lineRule="auto"/>
            </w:pPr>
            <w:r>
              <w:rPr>
                <w:rFonts w:ascii="Arial" w:hAnsi="Arial"/>
                <w:sz w:val="17"/>
              </w:rPr>
              <w:t>Vollständigkeit</w:t>
            </w:r>
          </w:p>
        </w:tc>
      </w:tr>
    </w:tbl>
    <w:p>
      <w:pPr>
        <w:spacing w:after="0"/>
      </w:pPr>
    </w:p>
    <w:p>
      <w:pPr>
        <w:pStyle w:val="Heading1"/>
      </w:pPr>
      <w:r>
        <w:t>2. Belegketten</w:t>
      </w:r>
    </w:p>
    <w:p>
      <w:pPr>
        <w:jc w:val="both"/>
      </w:pPr>
      <w:r>
        <w:t>Für die Erbschaft wird die Kette Eingang, Zwischenkonto, Kaufpreiszahlung und Renovierung nachvollzogen. Für digitale Vermögenswerte werden Börsenkonto, Auszahlungsadresse, Transaktionshash, Zieladresse und spätere Verwendung verbunden. Die Ferienwohnung wird mit Verkehrswert und stichtagsbezogenem Darlehenssaldo erfasst; spätere Tilgung wird nicht rückwirkend als Stichtagswert behandelt.</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Kanzlei Donau Familienrecht  |  DF/26-164 MK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Chronologie und Stichtage</dc:title>
  <dc:subject>DF/26-164 MK</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