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PERSÖNLICHE ERKLÄRUNG</w:t>
      </w:r>
    </w:p>
    <w:p>
      <w:pPr>
        <w:spacing w:after="40"/>
      </w:pPr>
      <w:r>
        <w:rPr>
          <w:rFonts w:ascii="Arial" w:hAnsi="Arial"/>
          <w:b/>
          <w:sz w:val="25"/>
        </w:rPr>
        <w:t>Dr. Milena Krammer</w:t>
      </w:r>
    </w:p>
    <w:p>
      <w:pPr>
        <w:spacing w:after="200"/>
      </w:pPr>
      <w:r>
        <w:rPr>
          <w:rFonts w:ascii="Arial" w:hAnsi="Arial"/>
          <w:color w:val="586069"/>
          <w:sz w:val="17"/>
        </w:rPr>
        <w:t>Innstraße 54 | 94032 Passau</w:t>
      </w:r>
    </w:p>
    <w:p>
      <w:pPr>
        <w:spacing w:after="160"/>
      </w:pPr>
      <w:r>
        <w:t>Kanzlei Donau Familienrecht</w:t>
      </w:r>
    </w:p>
    <w:p>
      <w:pPr>
        <w:spacing w:after="80"/>
      </w:pPr>
      <w:r>
        <w:rPr>
          <w:rFonts w:ascii="Arial" w:hAnsi="Arial"/>
          <w:color w:val="586069"/>
          <w:sz w:val="18"/>
        </w:rPr>
        <w:t>Datum: 18.06.2026  |  Zeichen: Persönliche Erklärung</w:t>
      </w:r>
    </w:p>
    <w:p>
      <w:pPr>
        <w:pStyle w:val="Title"/>
      </w:pPr>
      <w:r>
        <w:t>Erklärung zu Erbschaft, Ferienwohnung und Vermögen</w:t>
      </w:r>
    </w:p>
    <w:p>
      <w:pPr>
        <w:jc w:val="both"/>
      </w:pPr>
      <w:r>
        <w:t>Ich habe die Darstellung anhand meiner Kontoauszüge und Unterlagen erstellt. Zu den digitalen Vermögenswerten meines Ehemanns kann ich nur beschreiben, was ich selbst gesehen oder gespeichert habe.</w:t>
      </w:r>
    </w:p>
    <w:p>
      <w:pPr>
        <w:pStyle w:val="Heading1"/>
      </w:pPr>
      <w:r>
        <w:t>1. Erbschaft und Ferienwohnung</w:t>
      </w:r>
    </w:p>
    <w:p>
      <w:pPr>
        <w:jc w:val="both"/>
      </w:pPr>
      <w:r>
        <w:t>Am 1. Juni 2018 erhielt ich aus dem Nachlass meiner Mutter 95.000 Euro auf mein damaliges Einzelkonto. Davon verblieben 2022 noch 82.340 Euro. Beim Kauf der Ferienwohnung überwies ich 80.000 Euro auf das Notaranderkonto; Sebastian überwies 36.000 Euro vom Gemeinschaftskonto. Die Renovierung wurde teils aus meinen Praxiseinnahmen, teils aus dem Gemeinschaftskonto bezahlt. Ich kann nicht jede Rechnung allein der Erbschaft zuordnen.</w:t>
      </w:r>
    </w:p>
    <w:p>
      <w:pPr>
        <w:pStyle w:val="Heading1"/>
      </w:pPr>
      <w:r>
        <w:t>2. Wallet</w:t>
      </w:r>
    </w:p>
    <w:p>
      <w:pPr>
        <w:jc w:val="both"/>
      </w:pPr>
      <w:r>
        <w:t>Sebastian zeigte mir 2024 eine Anwendung mit Beständen in Bitcoin und Ether. Am 22. Dezember 2025 sah ich eine Meldung über eine Übertragung. Ich fotografierte den Bildschirm. Später erhielt ich von einem gemeinsam genutzten Computer eine CSV-Datei mit drei Transaktionshashes. Ich weiß nicht, ob die Zieladressen Sebastian, einer Börse oder einem Dritten gehören.</w:t>
      </w:r>
    </w:p>
    <w:p>
      <w:pPr>
        <w:pStyle w:val="Heading1"/>
      </w:pPr>
      <w:r>
        <w:t>3. Depot und Darlehen</w:t>
      </w:r>
    </w:p>
    <w:p>
      <w:pPr>
        <w:jc w:val="both"/>
      </w:pPr>
      <w:r>
        <w:t>Das gemeinsame Depot wurde im Februar 2026 teilweise verkauft. 74.000 Euro gingen als Sondertilgung an die Sparkasse. Ich war damit grundsätzlich einverstanden, wusste aber nicht, dass die Ausführung nach Zustellung des Scheidungsantrags erfolgte. Die Bank soll den Stichtagssaldo und die genaue Buchung bestätigen.</w:t>
      </w:r>
    </w:p>
    <w:p>
      <w:pPr>
        <w:pStyle w:val="Heading1"/>
      </w:pPr>
      <w:r>
        <w:t>4. Praxis und Hausrat</w:t>
      </w:r>
    </w:p>
    <w:p>
      <w:pPr>
        <w:jc w:val="both"/>
      </w:pPr>
      <w:r>
        <w:t>Meine Zahnarztpraxis hat offene Patientenforderungen, Gerätefinanzierungen und einen ideellen Wert, den ich selbst nicht schätzen kann. Die Haushaltsliste enthält Behandlungsgeräte, die der Praxis gehören, und private Möbel. Ich möchte eine saubere Trennung und keine pauschale Gegenrechnung.</w:t>
      </w:r>
    </w:p>
    <w:p>
      <w:pPr>
        <w:jc w:val="both"/>
      </w:pPr>
      <w:r>
        <w:t>Passau, 18. Juni 2026 Dr. Milena Krammer</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Dr. Milena Krammer  |  Persönliche Erklärung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Erklärung zu Erbschaft, Ferienwohnung und Vermögen</dc:title>
  <dc:subject>Persönliche Erklärung</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