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ANWALTSSCHREIBEN</w:t>
      </w:r>
    </w:p>
    <w:p>
      <w:pPr>
        <w:spacing w:after="40"/>
      </w:pPr>
      <w:r>
        <w:rPr>
          <w:rFonts w:ascii="Arial" w:hAnsi="Arial"/>
          <w:b/>
          <w:sz w:val="25"/>
        </w:rPr>
        <w:t>Rechtsanwälte Stadler &amp; Kern</w:t>
      </w:r>
    </w:p>
    <w:p>
      <w:pPr>
        <w:spacing w:after="200"/>
      </w:pPr>
      <w:r>
        <w:rPr>
          <w:rFonts w:ascii="Arial" w:hAnsi="Arial"/>
          <w:color w:val="586069"/>
          <w:sz w:val="17"/>
        </w:rPr>
        <w:t>Familienrecht | Bahnhofstraße 28 | 94032 Passau</w:t>
      </w:r>
    </w:p>
    <w:p>
      <w:pPr>
        <w:spacing w:after="160"/>
      </w:pPr>
      <w:r>
        <w:t>Kanzlei Donau Familienrecht</w:t>
      </w:r>
    </w:p>
    <w:p>
      <w:pPr>
        <w:spacing w:after="80"/>
      </w:pPr>
      <w:r>
        <w:rPr>
          <w:rFonts w:ascii="Arial" w:hAnsi="Arial"/>
          <w:color w:val="586069"/>
          <w:sz w:val="18"/>
        </w:rPr>
        <w:t>Datum: 23.06.2026  |  Zeichen: SK/26-390 SK</w:t>
      </w:r>
    </w:p>
    <w:p>
      <w:pPr>
        <w:pStyle w:val="Title"/>
      </w:pPr>
      <w:r>
        <w:t>Krammer ./. Krammer - Zugewinn und Vermögensauskunft</w:t>
      </w:r>
    </w:p>
    <w:p>
      <w:pPr>
        <w:jc w:val="both"/>
      </w:pPr>
      <w:r>
        <w:t>Sehr geehrter Herr Kollege Auer, unser Mandant Sebastian Krammer wird die verlangte Auskunft geordnet erteilen. Die bislang erhobenen Vorwürfe einer Vermögensverschiebung und einer vollständigen Finanzierung der Ferienwohnung aus Erbschaftsmitteln sind jedoch nicht belegt.</w:t>
      </w:r>
    </w:p>
    <w:p>
      <w:pPr>
        <w:pStyle w:val="Heading1"/>
      </w:pPr>
      <w:r>
        <w:t>1. Digitale Vermögenswerte</w:t>
      </w:r>
    </w:p>
    <w:p>
      <w:pPr>
        <w:jc w:val="both"/>
      </w:pPr>
      <w:r>
        <w:t>Die Transfers im Dezember 2025 erfolgten nach Darstellung unseres Mandanten zwischen einer Börse und zwei eigenen Wallets zur Sicherung der Zugangsdaten. Eine Verfügung an Dritte wird bestritten. Börsenexporte, Transaktionshashes und Signaturnachweise werden bereitgestellt, soweit dies ohne Offenlegung geheimer Schlüssel möglich ist.</w:t>
      </w:r>
    </w:p>
    <w:p>
      <w:pPr>
        <w:pStyle w:val="Heading1"/>
      </w:pPr>
      <w:r>
        <w:t>2. Ferienwohnung</w:t>
      </w:r>
    </w:p>
    <w:p>
      <w:pPr>
        <w:jc w:val="both"/>
      </w:pPr>
      <w:r>
        <w:t>Die Wohnung wurde zu je einem Halb erworben. Neben 80.000 Euro vom Einzelkonto Ihrer Mandantin flossen erhebliche gemeinsame Mittel, Darlehen und Eigenleistungen unseres Mandanten ein. Die Herkunft einzelner Mittel entscheidet nicht ohne weitere Prüfung über die vermögensrechtliche Einordnung. Wert und Darlehensstand sind zum richtigen Stichtag festzustellen.</w:t>
      </w:r>
    </w:p>
    <w:p>
      <w:pPr>
        <w:pStyle w:val="Heading1"/>
      </w:pPr>
      <w:r>
        <w:t>3. Depot und Praxis</w:t>
      </w:r>
    </w:p>
    <w:p>
      <w:pPr>
        <w:jc w:val="both"/>
      </w:pPr>
      <w:r>
        <w:t>Die Sondertilgung nach dem Stichtag änderte die Zusammensetzung, nicht den rechnerischen Gesamtwert, und erfolgte im Einvernehmen. Für die Zahnarztpraxis erwarten wir vollständige Forderungslisten, BWA, Steuerunterlagen, Geräteverbindlichkeiten und eine unabhängige Bewertung. Offene Forderungen dürfen nicht lediglich mit einem pauschalen Abschlag ausgeblendet werden.</w:t>
      </w:r>
    </w:p>
    <w:p>
      <w:pPr>
        <w:pStyle w:val="Heading1"/>
      </w:pPr>
      <w:r>
        <w:t>4. Verfahren</w:t>
      </w:r>
    </w:p>
    <w:p>
      <w:pPr>
        <w:jc w:val="both"/>
      </w:pPr>
      <w:r>
        <w:t>Unser Mandant schlägt einen beiderseitigen Datenraum, eine abgestimmte Stichtagsmatrix und je einen gemeinsam ausgewählten Sachverständigen für Immobilie und Praxis vor. Bis zur vollständigen Auskunft sollte keine Zahl als Vergleichsuntergrenze bezeichnet werden.</w:t>
      </w:r>
    </w:p>
    <w:p>
      <w:pPr>
        <w:jc w:val="both"/>
      </w:pPr>
      <w:r>
        <w:t>Mit freundlichen kollegialen Grüßen Rechtsanwältin Helena Kern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Rechtsanwälte Stadler &amp; Kern  |  SK/26-390 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Krammer ./. Krammer - Zugewinn und Vermögensauskunft</dc:title>
  <dc:subject>SK/26-390 SK</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