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color w:val="17365D"/>
          <w:sz w:val="17"/>
        </w:rPr>
        <w:t>STEUERLICHE AKTENNOTIZ</w:t>
      </w:r>
    </w:p>
    <w:p>
      <w:pPr>
        <w:spacing w:after="40"/>
      </w:pPr>
      <w:r>
        <w:rPr>
          <w:rFonts w:ascii="Arial" w:hAnsi="Arial"/>
          <w:b/>
          <w:sz w:val="25"/>
        </w:rPr>
        <w:t>Steuerkanzlei Rottaler</w:t>
      </w:r>
    </w:p>
    <w:p>
      <w:pPr>
        <w:spacing w:after="200"/>
      </w:pPr>
      <w:r>
        <w:rPr>
          <w:rFonts w:ascii="Arial" w:hAnsi="Arial"/>
          <w:color w:val="586069"/>
          <w:sz w:val="17"/>
        </w:rPr>
        <w:t>Neuburger Straße 103 | 94036 Passau</w:t>
      </w:r>
    </w:p>
    <w:p>
      <w:pPr>
        <w:spacing w:after="160"/>
      </w:pPr>
      <w:r>
        <w:t>Kanzlei Donau Familienrecht</w:t>
      </w:r>
    </w:p>
    <w:p>
      <w:pPr>
        <w:spacing w:after="80"/>
      </w:pPr>
      <w:r>
        <w:rPr>
          <w:rFonts w:ascii="Arial" w:hAnsi="Arial"/>
          <w:color w:val="586069"/>
          <w:sz w:val="18"/>
        </w:rPr>
        <w:t>Datum: 16.06.2026  |  Zeichen: RO/KR-2026-17</w:t>
      </w:r>
    </w:p>
    <w:p>
      <w:pPr>
        <w:pStyle w:val="Title"/>
      </w:pPr>
      <w:r>
        <w:t>Aktennotiz zu digitalen Vermögenswerten</w:t>
      </w:r>
    </w:p>
    <w:p>
      <w:pPr>
        <w:jc w:val="both"/>
      </w:pPr>
      <w:r>
        <w:t>Die vorliegenden Dateien wurden auf technische Plausibilität, nicht auf Eigentum oder familienrechtliche Zurechnung geprüft. Private Schlüssel wurden weder angefordert noch eingesehen.</w:t>
      </w:r>
    </w:p>
    <w:p>
      <w:pPr>
        <w:pStyle w:val="Heading1"/>
      </w:pPr>
      <w:r>
        <w:t>1. Datenbestand</w:t>
      </w:r>
    </w:p>
    <w:p>
      <w:pPr>
        <w:jc w:val="both"/>
      </w:pPr>
      <w:r>
        <w:t>Vorliegen: drei Screenshots einer Wallet-Anwendung vom 20. und 22. Dezember 2025, eine CSV-Datei mit 34 Buchungen, zwei Börsenabrechnungen aus 2024 und drei Transaktionshashes. Die CSV enthält keine verifizierte Signatur. Ein Screenshot weist 2,84 Bitcoin und 31,6 Ether aus; der Kontoinhaber ist nicht sichtbar.</w:t>
      </w:r>
    </w:p>
    <w:p>
      <w:pPr>
        <w:pStyle w:val="Heading1"/>
      </w:pPr>
      <w:r>
        <w:t>2. Transaktionen</w:t>
      </w:r>
    </w:p>
    <w:tbl>
      <w:tblPr>
        <w:tblStyle w:val="TableGrid"/>
        <w:tblW w:type="dxa" w:w="9600"/>
        <w:tblLayout w:type="fixed"/>
        <w:tblLook w:firstColumn="1" w:firstRow="1" w:lastColumn="0" w:lastRow="0" w:noHBand="0" w:noVBand="1" w:val="04A0"/>
        <w:tblInd w:w="120" w:type="dxa"/>
      </w:tblPr>
      <w:tblGrid>
        <w:gridCol w:w="1800"/>
        <w:gridCol w:w="2100"/>
        <w:gridCol w:w="1800"/>
        <w:gridCol w:w="3900"/>
      </w:tblGrid>
      <w:tr>
        <w:trPr>
          <w:tblHeader w:val="true"/>
        </w:trPr>
        <w:tc>
          <w:tcPr>
            <w:tcW w:type="dxa" w:w="1800"/>
            <w:vAlign w:val="center"/>
            <w:shd w:fill="DCE6F1"/>
            <w:tcMar>
              <w:top w:w="90" w:type="dxa"/>
              <w:start w:w="120" w:type="dxa"/>
              <w:bottom w:w="90" w:type="dxa"/>
              <w:end w:w="120" w:type="dxa"/>
            </w:tcMar>
          </w:tcPr>
          <w:p>
            <w:pPr>
              <w:spacing w:after="0"/>
            </w:pPr>
            <w:r>
              <w:rPr>
                <w:rFonts w:ascii="Arial" w:hAnsi="Arial"/>
                <w:b/>
                <w:sz w:val="18"/>
              </w:rPr>
              <w:t>Datum</w:t>
            </w:r>
          </w:p>
        </w:tc>
        <w:tc>
          <w:tcPr>
            <w:tcW w:type="dxa" w:w="2100"/>
            <w:vAlign w:val="center"/>
            <w:shd w:fill="DCE6F1"/>
            <w:tcMar>
              <w:top w:w="90" w:type="dxa"/>
              <w:start w:w="120" w:type="dxa"/>
              <w:bottom w:w="90" w:type="dxa"/>
              <w:end w:w="120" w:type="dxa"/>
            </w:tcMar>
          </w:tcPr>
          <w:p>
            <w:pPr>
              <w:spacing w:after="0"/>
            </w:pPr>
            <w:r>
              <w:rPr>
                <w:rFonts w:ascii="Arial" w:hAnsi="Arial"/>
                <w:b/>
                <w:sz w:val="18"/>
              </w:rPr>
              <w:t>Vermögenswert</w:t>
            </w:r>
          </w:p>
        </w:tc>
        <w:tc>
          <w:tcPr>
            <w:tcW w:type="dxa" w:w="1800"/>
            <w:vAlign w:val="center"/>
            <w:shd w:fill="DCE6F1"/>
            <w:tcMar>
              <w:top w:w="90" w:type="dxa"/>
              <w:start w:w="120" w:type="dxa"/>
              <w:bottom w:w="90" w:type="dxa"/>
              <w:end w:w="120" w:type="dxa"/>
            </w:tcMar>
          </w:tcPr>
          <w:p>
            <w:pPr>
              <w:spacing w:after="0"/>
            </w:pPr>
            <w:r>
              <w:rPr>
                <w:rFonts w:ascii="Arial" w:hAnsi="Arial"/>
                <w:b/>
                <w:sz w:val="18"/>
              </w:rPr>
              <w:t>Menge</w:t>
            </w:r>
          </w:p>
        </w:tc>
        <w:tc>
          <w:tcPr>
            <w:tcW w:type="dxa" w:w="3900"/>
            <w:vAlign w:val="center"/>
            <w:shd w:fill="DCE6F1"/>
            <w:tcMar>
              <w:top w:w="90" w:type="dxa"/>
              <w:start w:w="120" w:type="dxa"/>
              <w:bottom w:w="90" w:type="dxa"/>
              <w:end w:w="120" w:type="dxa"/>
            </w:tcMar>
          </w:tcPr>
          <w:p>
            <w:pPr>
              <w:spacing w:after="0"/>
            </w:pPr>
            <w:r>
              <w:rPr>
                <w:rFonts w:ascii="Arial" w:hAnsi="Arial"/>
                <w:b/>
                <w:sz w:val="18"/>
              </w:rPr>
              <w:t>Ziel / Status</w:t>
            </w:r>
          </w:p>
        </w:tc>
      </w:tr>
      <w:tr>
        <w:tc>
          <w:tcPr>
            <w:tcW w:type="dxa" w:w="1800"/>
            <w:vAlign w:val="center"/>
            <w:tcMar>
              <w:top w:w="90" w:type="dxa"/>
              <w:start w:w="120" w:type="dxa"/>
              <w:bottom w:w="90" w:type="dxa"/>
              <w:end w:w="120" w:type="dxa"/>
            </w:tcMar>
          </w:tcPr>
          <w:p>
            <w:pPr>
              <w:spacing w:after="0" w:line="259" w:lineRule="auto"/>
            </w:pPr>
            <w:r>
              <w:rPr>
                <w:rFonts w:ascii="Arial" w:hAnsi="Arial"/>
                <w:sz w:val="17"/>
              </w:rPr>
              <w:t>22.12.2025</w:t>
            </w:r>
          </w:p>
        </w:tc>
        <w:tc>
          <w:tcPr>
            <w:tcW w:type="dxa" w:w="2100"/>
            <w:vAlign w:val="center"/>
            <w:tcMar>
              <w:top w:w="90" w:type="dxa"/>
              <w:start w:w="120" w:type="dxa"/>
              <w:bottom w:w="90" w:type="dxa"/>
              <w:end w:w="120" w:type="dxa"/>
            </w:tcMar>
          </w:tcPr>
          <w:p>
            <w:pPr>
              <w:spacing w:after="0" w:line="259" w:lineRule="auto"/>
            </w:pPr>
            <w:r>
              <w:rPr>
                <w:rFonts w:ascii="Arial" w:hAnsi="Arial"/>
                <w:sz w:val="17"/>
              </w:rPr>
              <w:t>Bitcoin</w:t>
            </w:r>
          </w:p>
        </w:tc>
        <w:tc>
          <w:tcPr>
            <w:tcW w:type="dxa" w:w="1800"/>
            <w:vAlign w:val="center"/>
            <w:tcMar>
              <w:top w:w="90" w:type="dxa"/>
              <w:start w:w="120" w:type="dxa"/>
              <w:bottom w:w="90" w:type="dxa"/>
              <w:end w:w="120" w:type="dxa"/>
            </w:tcMar>
          </w:tcPr>
          <w:p>
            <w:pPr>
              <w:spacing w:after="0" w:line="259" w:lineRule="auto"/>
            </w:pPr>
            <w:r>
              <w:rPr>
                <w:rFonts w:ascii="Arial" w:hAnsi="Arial"/>
                <w:sz w:val="17"/>
              </w:rPr>
              <w:t>0,75</w:t>
            </w:r>
          </w:p>
        </w:tc>
        <w:tc>
          <w:tcPr>
            <w:tcW w:type="dxa" w:w="3900"/>
            <w:vAlign w:val="center"/>
            <w:tcMar>
              <w:top w:w="90" w:type="dxa"/>
              <w:start w:w="120" w:type="dxa"/>
              <w:bottom w:w="90" w:type="dxa"/>
              <w:end w:w="120" w:type="dxa"/>
            </w:tcMar>
          </w:tcPr>
          <w:p>
            <w:pPr>
              <w:spacing w:after="0" w:line="259" w:lineRule="auto"/>
            </w:pPr>
            <w:r>
              <w:rPr>
                <w:rFonts w:ascii="Arial" w:hAnsi="Arial"/>
                <w:sz w:val="17"/>
              </w:rPr>
              <w:t>Adresse bc1q...7k2; Inhaber offen</w:t>
            </w:r>
          </w:p>
        </w:tc>
      </w:tr>
      <w:tr>
        <w:tc>
          <w:tcPr>
            <w:tcW w:type="dxa" w:w="1800"/>
            <w:vAlign w:val="center"/>
            <w:shd w:fill="F2F4F7"/>
            <w:tcMar>
              <w:top w:w="90" w:type="dxa"/>
              <w:start w:w="120" w:type="dxa"/>
              <w:bottom w:w="90" w:type="dxa"/>
              <w:end w:w="120" w:type="dxa"/>
            </w:tcMar>
          </w:tcPr>
          <w:p>
            <w:pPr>
              <w:spacing w:after="0" w:line="259" w:lineRule="auto"/>
            </w:pPr>
            <w:r>
              <w:rPr>
                <w:rFonts w:ascii="Arial" w:hAnsi="Arial"/>
                <w:sz w:val="17"/>
              </w:rPr>
              <w:t>27.12.2025</w:t>
            </w:r>
          </w:p>
        </w:tc>
        <w:tc>
          <w:tcPr>
            <w:tcW w:type="dxa" w:w="2100"/>
            <w:vAlign w:val="center"/>
            <w:shd w:fill="F2F4F7"/>
            <w:tcMar>
              <w:top w:w="90" w:type="dxa"/>
              <w:start w:w="120" w:type="dxa"/>
              <w:bottom w:w="90" w:type="dxa"/>
              <w:end w:w="120" w:type="dxa"/>
            </w:tcMar>
          </w:tcPr>
          <w:p>
            <w:pPr>
              <w:spacing w:after="0" w:line="259" w:lineRule="auto"/>
            </w:pPr>
            <w:r>
              <w:rPr>
                <w:rFonts w:ascii="Arial" w:hAnsi="Arial"/>
                <w:sz w:val="17"/>
              </w:rPr>
              <w:t>Ether</w:t>
            </w:r>
          </w:p>
        </w:tc>
        <w:tc>
          <w:tcPr>
            <w:tcW w:type="dxa" w:w="1800"/>
            <w:vAlign w:val="center"/>
            <w:shd w:fill="F2F4F7"/>
            <w:tcMar>
              <w:top w:w="90" w:type="dxa"/>
              <w:start w:w="120" w:type="dxa"/>
              <w:bottom w:w="90" w:type="dxa"/>
              <w:end w:w="120" w:type="dxa"/>
            </w:tcMar>
          </w:tcPr>
          <w:p>
            <w:pPr>
              <w:spacing w:after="0" w:line="259" w:lineRule="auto"/>
            </w:pPr>
            <w:r>
              <w:rPr>
                <w:rFonts w:ascii="Arial" w:hAnsi="Arial"/>
                <w:sz w:val="17"/>
              </w:rPr>
              <w:t>12,0</w:t>
            </w:r>
          </w:p>
        </w:tc>
        <w:tc>
          <w:tcPr>
            <w:tcW w:type="dxa" w:w="3900"/>
            <w:vAlign w:val="center"/>
            <w:shd w:fill="F2F4F7"/>
            <w:tcMar>
              <w:top w:w="90" w:type="dxa"/>
              <w:start w:w="120" w:type="dxa"/>
              <w:bottom w:w="90" w:type="dxa"/>
              <w:end w:w="120" w:type="dxa"/>
            </w:tcMar>
          </w:tcPr>
          <w:p>
            <w:pPr>
              <w:spacing w:after="0" w:line="259" w:lineRule="auto"/>
            </w:pPr>
            <w:r>
              <w:rPr>
                <w:rFonts w:ascii="Arial" w:hAnsi="Arial"/>
                <w:sz w:val="17"/>
              </w:rPr>
              <w:t>Adresse 0x91...af3; Inhaber offen</w:t>
            </w:r>
          </w:p>
        </w:tc>
      </w:tr>
      <w:tr>
        <w:tc>
          <w:tcPr>
            <w:tcW w:type="dxa" w:w="1800"/>
            <w:vAlign w:val="center"/>
            <w:tcMar>
              <w:top w:w="90" w:type="dxa"/>
              <w:start w:w="120" w:type="dxa"/>
              <w:bottom w:w="90" w:type="dxa"/>
              <w:end w:w="120" w:type="dxa"/>
            </w:tcMar>
          </w:tcPr>
          <w:p>
            <w:pPr>
              <w:spacing w:after="0" w:line="259" w:lineRule="auto"/>
            </w:pPr>
            <w:r>
              <w:rPr>
                <w:rFonts w:ascii="Arial" w:hAnsi="Arial"/>
                <w:sz w:val="17"/>
              </w:rPr>
              <w:t>29.12.2025</w:t>
            </w:r>
          </w:p>
        </w:tc>
        <w:tc>
          <w:tcPr>
            <w:tcW w:type="dxa" w:w="2100"/>
            <w:vAlign w:val="center"/>
            <w:tcMar>
              <w:top w:w="90" w:type="dxa"/>
              <w:start w:w="120" w:type="dxa"/>
              <w:bottom w:w="90" w:type="dxa"/>
              <w:end w:w="120" w:type="dxa"/>
            </w:tcMar>
          </w:tcPr>
          <w:p>
            <w:pPr>
              <w:spacing w:after="0" w:line="259" w:lineRule="auto"/>
            </w:pPr>
            <w:r>
              <w:rPr>
                <w:rFonts w:ascii="Arial" w:hAnsi="Arial"/>
                <w:sz w:val="17"/>
              </w:rPr>
              <w:t>Bitcoin</w:t>
            </w:r>
          </w:p>
        </w:tc>
        <w:tc>
          <w:tcPr>
            <w:tcW w:type="dxa" w:w="1800"/>
            <w:vAlign w:val="center"/>
            <w:tcMar>
              <w:top w:w="90" w:type="dxa"/>
              <w:start w:w="120" w:type="dxa"/>
              <w:bottom w:w="90" w:type="dxa"/>
              <w:end w:w="120" w:type="dxa"/>
            </w:tcMar>
          </w:tcPr>
          <w:p>
            <w:pPr>
              <w:spacing w:after="0" w:line="259" w:lineRule="auto"/>
            </w:pPr>
            <w:r>
              <w:rPr>
                <w:rFonts w:ascii="Arial" w:hAnsi="Arial"/>
                <w:sz w:val="17"/>
              </w:rPr>
              <w:t>0,40</w:t>
            </w:r>
          </w:p>
        </w:tc>
        <w:tc>
          <w:tcPr>
            <w:tcW w:type="dxa" w:w="3900"/>
            <w:vAlign w:val="center"/>
            <w:tcMar>
              <w:top w:w="90" w:type="dxa"/>
              <w:start w:w="120" w:type="dxa"/>
              <w:bottom w:w="90" w:type="dxa"/>
              <w:end w:w="120" w:type="dxa"/>
            </w:tcMar>
          </w:tcPr>
          <w:p>
            <w:pPr>
              <w:spacing w:after="0" w:line="259" w:lineRule="auto"/>
            </w:pPr>
            <w:r>
              <w:rPr>
                <w:rFonts w:ascii="Arial" w:hAnsi="Arial"/>
                <w:sz w:val="17"/>
              </w:rPr>
              <w:t>Börsenadresse laut Sebastian</w:t>
            </w:r>
          </w:p>
        </w:tc>
      </w:tr>
    </w:tbl>
    <w:p>
      <w:pPr>
        <w:spacing w:after="0"/>
      </w:pPr>
    </w:p>
    <w:p>
      <w:pPr>
        <w:pStyle w:val="Heading1"/>
      </w:pPr>
      <w:r>
        <w:t>3. Steuerunterlagen</w:t>
      </w:r>
    </w:p>
    <w:p>
      <w:pPr>
        <w:jc w:val="both"/>
      </w:pPr>
      <w:r>
        <w:t>In der Einkommensteuererklärung 2024 wurden keine privaten Veräußerungsgewinne erklärt. Für 2025 liegt noch keine Erklärung vor. Ob die Bestände länger als die jeweils maßgeblichen Haltezeiträume gehalten wurden, kann aus den Dateien nicht vollständig rekonstruiert werden. Anschaffungsbelege fehlen teilweise.</w:t>
      </w:r>
    </w:p>
    <w:p>
      <w:pPr>
        <w:pStyle w:val="Heading1"/>
      </w:pPr>
      <w:r>
        <w:t>4. Benötigte Nachweise</w:t>
      </w:r>
    </w:p>
    <w:p>
      <w:pPr>
        <w:jc w:val="both"/>
      </w:pPr>
      <w:r>
        <w:t>Erforderlich sind vollständige Börsenexporte, Zuordnung der Ein- und Auszahlungsadressen, Signaturnachweis für selbstverwahrte Adressen, Anschaffungskosten, Kursquelle zum Stichtag und Belege für spätere Verwendung. Der Nachweis darf keine geheimen Schlüssel offenlegen.</w:t>
      </w:r>
    </w:p>
    <w:p>
      <w:pPr>
        <w:jc w:val="both"/>
      </w:pPr>
      <w:r>
        <w:t>Josef Rottaler Steuerberater</w:t>
      </w:r>
    </w:p>
    <w:sectPr w:rsidR="00FC693F" w:rsidRPr="0006063C" w:rsidSect="00034616">
      <w:headerReference w:type="default" r:id="rId9"/>
      <w:footerReference w:type="default" r:id="rId10"/>
      <w:pgSz w:w="11906" w:h="16838"/>
      <w:pgMar w:top="1020" w:right="1134" w:bottom="1020" w:left="141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Arial" w:hAnsi="Arial"/>
        <w:color w:val="586069"/>
        <w:sz w:val="16"/>
      </w:rPr>
      <w:t xml:space="preserve">Seite </w:t>
    </w:r>
    <w:r>
      <w:rPr>
        <w:rFonts w:ascii="Arial" w:hAnsi="Arial"/>
        <w:color w:val="586069"/>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color w:val="586069"/>
        <w:sz w:val="16"/>
      </w:rPr>
      <w:t>Steuerkanzlei Rottaler  |  RO/KR-2026-17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276"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17365D"/>
      <w:sz w:val="25"/>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17365D"/>
      <w:sz w:val="23"/>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7365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before="160"/>
      <w:contextualSpacing/>
    </w:pPr>
    <w:rPr>
      <w:rFonts w:asciiTheme="majorHAnsi" w:eastAsiaTheme="majorEastAsia" w:hAnsiTheme="majorHAnsi" w:cstheme="majorBidi" w:ascii="Arial" w:hAnsi="Arial"/>
      <w:b/>
      <w:color w:val="17365D"/>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Aktennotiz zu digitalen Vermögenswerten</dc:title>
  <dc:subject>RO/KR-2026-17</dc:subject>
  <dc:creator>Klotzkette</dc:creator>
  <cp:keywords/>
  <dc:description>generated by python-docx</dc:description>
  <cp:lastModifiedBy/>
  <cp:revision>1</cp:revision>
  <dcterms:created xsi:type="dcterms:W3CDTF">2013-12-23T23:15:00Z</dcterms:created>
  <dcterms:modified xsi:type="dcterms:W3CDTF">2013-12-23T23:15:00Z</dcterms:modified>
  <cp:category/>
</cp:coreProperties>
</file>