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BANKBESTÄTIGUNG</w:t>
      </w:r>
    </w:p>
    <w:p>
      <w:pPr>
        <w:spacing w:after="40"/>
      </w:pPr>
      <w:r>
        <w:rPr>
          <w:rFonts w:ascii="Arial" w:hAnsi="Arial"/>
          <w:b/>
          <w:sz w:val="25"/>
        </w:rPr>
        <w:t>Sparkasse Passau</w:t>
      </w:r>
    </w:p>
    <w:p>
      <w:pPr>
        <w:spacing w:after="200"/>
      </w:pPr>
      <w:r>
        <w:rPr>
          <w:rFonts w:ascii="Arial" w:hAnsi="Arial"/>
          <w:color w:val="586069"/>
          <w:sz w:val="17"/>
        </w:rPr>
        <w:t>Immobilienfinanzierung | Ludwigsplatz 1 | 94032 Passau</w:t>
      </w:r>
    </w:p>
    <w:p>
      <w:pPr>
        <w:spacing w:after="160"/>
      </w:pPr>
      <w:r>
        <w:t>Dr. Milena und Sebastian Krammer</w:t>
      </w:r>
    </w:p>
    <w:p>
      <w:pPr>
        <w:spacing w:after="80"/>
      </w:pPr>
      <w:r>
        <w:rPr>
          <w:rFonts w:ascii="Arial" w:hAnsi="Arial"/>
          <w:color w:val="586069"/>
          <w:sz w:val="18"/>
        </w:rPr>
        <w:t>Datum: 02.07.2026  |  Zeichen: Darlehen 74001982</w:t>
      </w:r>
    </w:p>
    <w:p>
      <w:pPr>
        <w:pStyle w:val="Title"/>
      </w:pPr>
      <w:r>
        <w:t>Darlehens- und Zahlungsbestätigung Ferienwohnung</w:t>
      </w:r>
    </w:p>
    <w:p>
      <w:pPr>
        <w:jc w:val="both"/>
      </w:pPr>
      <w:r>
        <w:t>Wir bestätigen auf gemeinsamen Antrag der Darlehensnehmer die stichtagsbezogenen Salden und Zahlungen. Eigentumsverhältnisse ergeben sich aus dem beigefügten Grundbuchauszug.</w:t>
      </w:r>
    </w:p>
    <w:p>
      <w:pPr>
        <w:pStyle w:val="Heading1"/>
      </w:pPr>
      <w:r>
        <w:t>1. Darlehenssalden</w:t>
      </w:r>
    </w:p>
    <w:tbl>
      <w:tblPr>
        <w:tblStyle w:val="TableGrid"/>
        <w:tblW w:type="dxa" w:w="9600"/>
        <w:tblLayout w:type="fixed"/>
        <w:tblLook w:firstColumn="1" w:firstRow="1" w:lastColumn="0" w:lastRow="0" w:noHBand="0" w:noVBand="1" w:val="04A0"/>
        <w:tblInd w:w="120" w:type="dxa"/>
      </w:tblPr>
      <w:tblGrid>
        <w:gridCol w:w="2300"/>
        <w:gridCol w:w="2500"/>
        <w:gridCol w:w="2400"/>
        <w:gridCol w:w="2400"/>
      </w:tblGrid>
      <w:tr>
        <w:trPr>
          <w:tblHeader w:val="true"/>
        </w:trPr>
        <w:tc>
          <w:tcPr>
            <w:tcW w:type="dxa" w:w="2300"/>
            <w:vAlign w:val="center"/>
            <w:shd w:fill="DCE6F1"/>
            <w:tcMar>
              <w:top w:w="90" w:type="dxa"/>
              <w:start w:w="120" w:type="dxa"/>
              <w:bottom w:w="90" w:type="dxa"/>
              <w:end w:w="120" w:type="dxa"/>
            </w:tcMar>
          </w:tcPr>
          <w:p>
            <w:pPr>
              <w:spacing w:after="0"/>
            </w:pPr>
            <w:r>
              <w:rPr>
                <w:rFonts w:ascii="Arial" w:hAnsi="Arial"/>
                <w:b/>
                <w:sz w:val="18"/>
              </w:rPr>
              <w:t>Stichtag</w:t>
            </w:r>
          </w:p>
        </w:tc>
        <w:tc>
          <w:tcPr>
            <w:tcW w:type="dxa" w:w="2500"/>
            <w:vAlign w:val="center"/>
            <w:shd w:fill="DCE6F1"/>
            <w:tcMar>
              <w:top w:w="90" w:type="dxa"/>
              <w:start w:w="120" w:type="dxa"/>
              <w:bottom w:w="90" w:type="dxa"/>
              <w:end w:w="120" w:type="dxa"/>
            </w:tcMar>
          </w:tcPr>
          <w:p>
            <w:pPr>
              <w:spacing w:after="0"/>
            </w:pPr>
            <w:r>
              <w:rPr>
                <w:rFonts w:ascii="Arial" w:hAnsi="Arial"/>
                <w:b/>
                <w:sz w:val="18"/>
              </w:rPr>
              <w:t>Darlehenssaldo</w:t>
            </w:r>
          </w:p>
        </w:tc>
        <w:tc>
          <w:tcPr>
            <w:tcW w:type="dxa" w:w="2400"/>
            <w:vAlign w:val="center"/>
            <w:shd w:fill="DCE6F1"/>
            <w:tcMar>
              <w:top w:w="90" w:type="dxa"/>
              <w:start w:w="120" w:type="dxa"/>
              <w:bottom w:w="90" w:type="dxa"/>
              <w:end w:w="120" w:type="dxa"/>
            </w:tcMar>
          </w:tcPr>
          <w:p>
            <w:pPr>
              <w:spacing w:after="0"/>
            </w:pPr>
            <w:r>
              <w:rPr>
                <w:rFonts w:ascii="Arial" w:hAnsi="Arial"/>
                <w:b/>
                <w:sz w:val="18"/>
              </w:rPr>
              <w:t>Zinsbindung</w:t>
            </w:r>
          </w:p>
        </w:tc>
        <w:tc>
          <w:tcPr>
            <w:tcW w:type="dxa" w:w="2400"/>
            <w:vAlign w:val="center"/>
            <w:shd w:fill="DCE6F1"/>
            <w:tcMar>
              <w:top w:w="90" w:type="dxa"/>
              <w:start w:w="120" w:type="dxa"/>
              <w:bottom w:w="90" w:type="dxa"/>
              <w:end w:w="120" w:type="dxa"/>
            </w:tcMar>
          </w:tcPr>
          <w:p>
            <w:pPr>
              <w:spacing w:after="0"/>
            </w:pPr>
            <w:r>
              <w:rPr>
                <w:rFonts w:ascii="Arial" w:hAnsi="Arial"/>
                <w:b/>
                <w:sz w:val="18"/>
              </w:rPr>
              <w:t>Monatsrate</w:t>
            </w:r>
          </w:p>
        </w:tc>
      </w:tr>
      <w:tr>
        <w:tc>
          <w:tcPr>
            <w:tcW w:type="dxa" w:w="2300"/>
            <w:vAlign w:val="center"/>
            <w:tcMar>
              <w:top w:w="90" w:type="dxa"/>
              <w:start w:w="120" w:type="dxa"/>
              <w:bottom w:w="90" w:type="dxa"/>
              <w:end w:w="120" w:type="dxa"/>
            </w:tcMar>
          </w:tcPr>
          <w:p>
            <w:pPr>
              <w:spacing w:after="0" w:line="259" w:lineRule="auto"/>
            </w:pPr>
            <w:r>
              <w:rPr>
                <w:rFonts w:ascii="Arial" w:hAnsi="Arial"/>
                <w:sz w:val="17"/>
              </w:rPr>
              <w:t>20.12.2025</w:t>
            </w:r>
          </w:p>
        </w:tc>
        <w:tc>
          <w:tcPr>
            <w:tcW w:type="dxa" w:w="2500"/>
            <w:vAlign w:val="center"/>
            <w:tcMar>
              <w:top w:w="90" w:type="dxa"/>
              <w:start w:w="120" w:type="dxa"/>
              <w:bottom w:w="90" w:type="dxa"/>
              <w:end w:w="120" w:type="dxa"/>
            </w:tcMar>
          </w:tcPr>
          <w:p>
            <w:pPr>
              <w:spacing w:after="0" w:line="259" w:lineRule="auto"/>
            </w:pPr>
            <w:r>
              <w:rPr>
                <w:rFonts w:ascii="Arial" w:hAnsi="Arial"/>
                <w:sz w:val="17"/>
              </w:rPr>
              <w:t>276.840,18 EUR</w:t>
            </w:r>
          </w:p>
        </w:tc>
        <w:tc>
          <w:tcPr>
            <w:tcW w:type="dxa" w:w="2400"/>
            <w:vAlign w:val="center"/>
            <w:tcMar>
              <w:top w:w="90" w:type="dxa"/>
              <w:start w:w="120" w:type="dxa"/>
              <w:bottom w:w="90" w:type="dxa"/>
              <w:end w:w="120" w:type="dxa"/>
            </w:tcMar>
          </w:tcPr>
          <w:p>
            <w:pPr>
              <w:spacing w:after="0" w:line="259" w:lineRule="auto"/>
            </w:pPr>
            <w:r>
              <w:rPr>
                <w:rFonts w:ascii="Arial" w:hAnsi="Arial"/>
                <w:sz w:val="17"/>
              </w:rPr>
              <w:t>bis 30.04.2032</w:t>
            </w:r>
          </w:p>
        </w:tc>
        <w:tc>
          <w:tcPr>
            <w:tcW w:type="dxa" w:w="2400"/>
            <w:vAlign w:val="center"/>
            <w:tcMar>
              <w:top w:w="90" w:type="dxa"/>
              <w:start w:w="120" w:type="dxa"/>
              <w:bottom w:w="90" w:type="dxa"/>
              <w:end w:w="120" w:type="dxa"/>
            </w:tcMar>
          </w:tcPr>
          <w:p>
            <w:pPr>
              <w:spacing w:after="0" w:line="259" w:lineRule="auto"/>
            </w:pPr>
            <w:r>
              <w:rPr>
                <w:rFonts w:ascii="Arial" w:hAnsi="Arial"/>
                <w:sz w:val="17"/>
              </w:rPr>
              <w:t>1.486,00 EUR</w:t>
            </w:r>
          </w:p>
        </w:tc>
      </w:tr>
      <w:tr>
        <w:tc>
          <w:tcPr>
            <w:tcW w:type="dxa" w:w="2300"/>
            <w:vAlign w:val="center"/>
            <w:shd w:fill="F2F4F7"/>
            <w:tcMar>
              <w:top w:w="90" w:type="dxa"/>
              <w:start w:w="120" w:type="dxa"/>
              <w:bottom w:w="90" w:type="dxa"/>
              <w:end w:w="120" w:type="dxa"/>
            </w:tcMar>
          </w:tcPr>
          <w:p>
            <w:pPr>
              <w:spacing w:after="0" w:line="259" w:lineRule="auto"/>
            </w:pPr>
            <w:r>
              <w:rPr>
                <w:rFonts w:ascii="Arial" w:hAnsi="Arial"/>
                <w:sz w:val="17"/>
              </w:rPr>
              <w:t>12.02.2026</w:t>
            </w:r>
          </w:p>
        </w:tc>
        <w:tc>
          <w:tcPr>
            <w:tcW w:type="dxa" w:w="2500"/>
            <w:vAlign w:val="center"/>
            <w:shd w:fill="F2F4F7"/>
            <w:tcMar>
              <w:top w:w="90" w:type="dxa"/>
              <w:start w:w="120" w:type="dxa"/>
              <w:bottom w:w="90" w:type="dxa"/>
              <w:end w:w="120" w:type="dxa"/>
            </w:tcMar>
          </w:tcPr>
          <w:p>
            <w:pPr>
              <w:spacing w:after="0" w:line="259" w:lineRule="auto"/>
            </w:pPr>
            <w:r>
              <w:rPr>
                <w:rFonts w:ascii="Arial" w:hAnsi="Arial"/>
                <w:sz w:val="17"/>
              </w:rPr>
              <w:t>274.911,62 EUR</w:t>
            </w:r>
          </w:p>
        </w:tc>
        <w:tc>
          <w:tcPr>
            <w:tcW w:type="dxa" w:w="2400"/>
            <w:vAlign w:val="center"/>
            <w:shd w:fill="F2F4F7"/>
            <w:tcMar>
              <w:top w:w="90" w:type="dxa"/>
              <w:start w:w="120" w:type="dxa"/>
              <w:bottom w:w="90" w:type="dxa"/>
              <w:end w:w="120" w:type="dxa"/>
            </w:tcMar>
          </w:tcPr>
          <w:p>
            <w:pPr>
              <w:spacing w:after="0" w:line="259" w:lineRule="auto"/>
            </w:pPr>
            <w:r>
              <w:rPr>
                <w:rFonts w:ascii="Arial" w:hAnsi="Arial"/>
                <w:sz w:val="17"/>
              </w:rPr>
              <w:t>bis 30.04.2032</w:t>
            </w:r>
          </w:p>
        </w:tc>
        <w:tc>
          <w:tcPr>
            <w:tcW w:type="dxa" w:w="2400"/>
            <w:vAlign w:val="center"/>
            <w:shd w:fill="F2F4F7"/>
            <w:tcMar>
              <w:top w:w="90" w:type="dxa"/>
              <w:start w:w="120" w:type="dxa"/>
              <w:bottom w:w="90" w:type="dxa"/>
              <w:end w:w="120" w:type="dxa"/>
            </w:tcMar>
          </w:tcPr>
          <w:p>
            <w:pPr>
              <w:spacing w:after="0" w:line="259" w:lineRule="auto"/>
            </w:pPr>
            <w:r>
              <w:rPr>
                <w:rFonts w:ascii="Arial" w:hAnsi="Arial"/>
                <w:sz w:val="17"/>
              </w:rPr>
              <w:t>1.486,00 EUR</w:t>
            </w:r>
          </w:p>
        </w:tc>
      </w:tr>
      <w:tr>
        <w:tc>
          <w:tcPr>
            <w:tcW w:type="dxa" w:w="2300"/>
            <w:vAlign w:val="center"/>
            <w:tcMar>
              <w:top w:w="90" w:type="dxa"/>
              <w:start w:w="120" w:type="dxa"/>
              <w:bottom w:w="90" w:type="dxa"/>
              <w:end w:w="120" w:type="dxa"/>
            </w:tcMar>
          </w:tcPr>
          <w:p>
            <w:pPr>
              <w:spacing w:after="0" w:line="259" w:lineRule="auto"/>
            </w:pPr>
            <w:r>
              <w:rPr>
                <w:rFonts w:ascii="Arial" w:hAnsi="Arial"/>
                <w:sz w:val="17"/>
              </w:rPr>
              <w:t>20.02.2026 nach Sondertilgung</w:t>
            </w:r>
          </w:p>
        </w:tc>
        <w:tc>
          <w:tcPr>
            <w:tcW w:type="dxa" w:w="2500"/>
            <w:vAlign w:val="center"/>
            <w:tcMar>
              <w:top w:w="90" w:type="dxa"/>
              <w:start w:w="120" w:type="dxa"/>
              <w:bottom w:w="90" w:type="dxa"/>
              <w:end w:w="120" w:type="dxa"/>
            </w:tcMar>
          </w:tcPr>
          <w:p>
            <w:pPr>
              <w:spacing w:after="0" w:line="259" w:lineRule="auto"/>
            </w:pPr>
            <w:r>
              <w:rPr>
                <w:rFonts w:ascii="Arial" w:hAnsi="Arial"/>
                <w:sz w:val="17"/>
              </w:rPr>
              <w:t>200.911,62 EUR</w:t>
            </w:r>
          </w:p>
        </w:tc>
        <w:tc>
          <w:tcPr>
            <w:tcW w:type="dxa" w:w="2400"/>
            <w:vAlign w:val="center"/>
            <w:tcMar>
              <w:top w:w="90" w:type="dxa"/>
              <w:start w:w="120" w:type="dxa"/>
              <w:bottom w:w="90" w:type="dxa"/>
              <w:end w:w="120" w:type="dxa"/>
            </w:tcMar>
          </w:tcPr>
          <w:p>
            <w:pPr>
              <w:spacing w:after="0" w:line="259" w:lineRule="auto"/>
            </w:pPr>
            <w:r>
              <w:rPr>
                <w:rFonts w:ascii="Arial" w:hAnsi="Arial"/>
                <w:sz w:val="17"/>
              </w:rPr>
              <w:t>bis 30.04.2032</w:t>
            </w:r>
          </w:p>
        </w:tc>
        <w:tc>
          <w:tcPr>
            <w:tcW w:type="dxa" w:w="2400"/>
            <w:vAlign w:val="center"/>
            <w:tcMar>
              <w:top w:w="90" w:type="dxa"/>
              <w:start w:w="120" w:type="dxa"/>
              <w:bottom w:w="90" w:type="dxa"/>
              <w:end w:w="120" w:type="dxa"/>
            </w:tcMar>
          </w:tcPr>
          <w:p>
            <w:pPr>
              <w:spacing w:after="0" w:line="259" w:lineRule="auto"/>
            </w:pPr>
            <w:r>
              <w:rPr>
                <w:rFonts w:ascii="Arial" w:hAnsi="Arial"/>
                <w:sz w:val="17"/>
              </w:rPr>
              <w:t>1.486,00 EUR</w:t>
            </w:r>
          </w:p>
        </w:tc>
      </w:tr>
    </w:tbl>
    <w:p>
      <w:pPr>
        <w:spacing w:after="0"/>
      </w:pPr>
    </w:p>
    <w:p>
      <w:pPr>
        <w:pStyle w:val="Heading1"/>
      </w:pPr>
      <w:r>
        <w:t>2. Sondertilgung</w:t>
      </w:r>
    </w:p>
    <w:p>
      <w:pPr>
        <w:jc w:val="both"/>
      </w:pPr>
      <w:r>
        <w:t>Am 19. Februar 2026 gingen 74.000 Euro vom gemeinsamen Depotverrechnungskonto ein. Der Auftrag war am 16. Februar elektronisch von beiden Darlehensnehmern freigegeben worden. Die Verbuchung erfolgte am 20. Februar. Eine interne Zuordnung der Mittel zwischen den Darlehensnehmern nimmt die Sparkasse nicht vor.</w:t>
      </w:r>
    </w:p>
    <w:p>
      <w:pPr>
        <w:pStyle w:val="Heading1"/>
      </w:pPr>
      <w:r>
        <w:t>3. Grundbuch</w:t>
      </w:r>
    </w:p>
    <w:p>
      <w:pPr>
        <w:jc w:val="both"/>
      </w:pPr>
      <w:r>
        <w:t>Im Grundbuch von Bodenmais Blatt 4471 sind Dr. Milena Krammer und Sebastian Krammer zu je einem Halb als Eigentümer eingetragen. In Abteilung III besteht eine Grundschuld über 310.000 Euro zugunsten der Sparkasse Passau. Weitere Belastungen sind im Auszug vom 30. Juni 2026 nicht verzeichnet.</w:t>
      </w:r>
    </w:p>
    <w:p>
      <w:pPr>
        <w:jc w:val="both"/>
      </w:pPr>
      <w:r>
        <w:t>Sparkasse Passau Anna Huber, Immobilienfinanzierung</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Sparkasse Passau  |  Darlehen 74001982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Darlehens- und Zahlungsbestätigung Ferienwohnung</dc:title>
  <dc:subject>Darlehen 74001982</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