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SCHREIBENENTWURF</w:t>
      </w:r>
    </w:p>
    <w:p>
      <w:pPr>
        <w:spacing w:after="40"/>
      </w:pPr>
      <w:r>
        <w:rPr>
          <w:rFonts w:ascii="Arial" w:hAnsi="Arial"/>
          <w:b/>
          <w:sz w:val="25"/>
        </w:rPr>
        <w:t>Kanzlei Donau Familienrecht</w:t>
      </w:r>
    </w:p>
    <w:p>
      <w:pPr>
        <w:spacing w:after="200"/>
      </w:pPr>
      <w:r>
        <w:rPr>
          <w:rFonts w:ascii="Arial" w:hAnsi="Arial"/>
          <w:color w:val="586069"/>
          <w:sz w:val="17"/>
        </w:rPr>
        <w:t>Nibelungenplatz 4 | 94032 Passau | Telefon 0851 702480</w:t>
      </w:r>
    </w:p>
    <w:p>
      <w:pPr>
        <w:spacing w:after="160"/>
      </w:pPr>
      <w:r>
        <w:t>Rechtsanwälte Stadler &amp; Kern</w:t>
      </w:r>
    </w:p>
    <w:p>
      <w:pPr>
        <w:spacing w:after="80"/>
      </w:pPr>
      <w:r>
        <w:rPr>
          <w:rFonts w:ascii="Arial" w:hAnsi="Arial"/>
          <w:color w:val="586069"/>
          <w:sz w:val="18"/>
        </w:rPr>
        <w:t>Datum: 06.07.2026  |  Zeichen: DF/26-164 MK</w:t>
      </w:r>
    </w:p>
    <w:p>
      <w:pPr>
        <w:pStyle w:val="Title"/>
      </w:pPr>
      <w:r>
        <w:t>Krammer ./. Krammer - stichtagsbezogene Vermögensauskunft</w:t>
      </w:r>
    </w:p>
    <w:p>
      <w:pPr>
        <w:jc w:val="both"/>
      </w:pPr>
      <w:r>
        <w:t>Sehr geehrte Frau Kollegin Kern, wir begrüßen die vorgeschlagene gemeinsame Datenstruktur. Die beigefügten Tabellen sind jedoch noch um mehrere Primärbelege zu ergänzen, bevor eine rechnerische oder vergleichsweise Aussage möglich ist.</w:t>
      </w:r>
    </w:p>
    <w:p>
      <w:pPr>
        <w:pStyle w:val="Heading1"/>
      </w:pPr>
      <w:r>
        <w:t>1. Digitale Vermögenswerte</w:t>
      </w:r>
    </w:p>
    <w:p>
      <w:pPr>
        <w:jc w:val="both"/>
      </w:pPr>
      <w:r>
        <w:t>Bitte legen Sie vollständige Börsenexporte, Signaturnachweise ohne Preisgabe geheimer Schlüssel, Anschaffungsbelege und die Zuordnung der Zieladressen vor. Jede Transaktion ist mit Hash, Zeitpunkt, Menge, Kursquelle und behauptetem wirtschaftlichem Zweck zu erfassen. Ungeklärte Adressen bleiben als ungeklärt bezeichnet.</w:t>
      </w:r>
    </w:p>
    <w:p>
      <w:pPr>
        <w:pStyle w:val="Heading1"/>
      </w:pPr>
      <w:r>
        <w:t>2. Ferienwohnung</w:t>
      </w:r>
    </w:p>
    <w:p>
      <w:pPr>
        <w:jc w:val="both"/>
      </w:pPr>
      <w:r>
        <w:t>Für Anfangsfinanzierung, Renovierung, Mieteinnahmen und Darlehen werden Kontoauszüge und Rechnungen benötigt. Die Verkehrswertermittlung soll den Stichtag 12. Februar 2026 verwenden. Eigentumsquote, Mittelherkunft, privilegierter Erwerb und spätere Sondertilgung sind getrennte Prüfungsschritte.</w:t>
      </w:r>
    </w:p>
    <w:p>
      <w:pPr>
        <w:pStyle w:val="Heading1"/>
      </w:pPr>
      <w:r>
        <w:t>3. Praxis und offene Forderungen</w:t>
      </w:r>
    </w:p>
    <w:p>
      <w:pPr>
        <w:jc w:val="both"/>
      </w:pPr>
      <w:r>
        <w:t>Unsere Mandantin stellt BWA, Jahresabschlüsse, Geräteverbindlichkeiten und die offene Forderungsliste bereit. Letztere ist Bestandteil der Auskunft; Einbringlichkeit und Wert werden in einer gesonderten Spalte mit Belegstatus bewertet, nicht durch pauschales Weglassen.</w:t>
      </w:r>
    </w:p>
    <w:p>
      <w:pPr>
        <w:pStyle w:val="Heading1"/>
      </w:pPr>
      <w:r>
        <w:t>4. Sicherung und Vergleich</w:t>
      </w:r>
    </w:p>
    <w:p>
      <w:pPr>
        <w:jc w:val="both"/>
      </w:pPr>
      <w:r>
        <w:t>Bis zum vollständigen Abgleich sollen keine digitalen Vermögenswerte an unbekannte Dritte übertragen und keine außergewöhnlichen Verfügungen über die Ferienwohnung vorgenommen werden. Der Vorschlag erfolgt ohne Anerkennung eines Sicherungsanspruchs. Ein Vergleichskorridor wird erst nach Abschluss beider Bewertungen eröffnet.</w:t>
      </w:r>
    </w:p>
    <w:p>
      <w:pPr>
        <w:jc w:val="both"/>
      </w:pPr>
      <w:r>
        <w:t>Mit freundlichen kollegialen Grüßen Florian Auer Rechtsanwalt</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Donau Familienrecht  |  DF/26-164 MK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Krammer ./. Krammer - stichtagsbezogene Vermögensauskunft</dc:title>
  <dc:subject>DF/26-164 MK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