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365D"/>
          <w:sz w:val="17"/>
        </w:rPr>
        <w:t>BEWERTUNGSAUFTRAG</w:t>
      </w:r>
    </w:p>
    <w:p>
      <w:pPr>
        <w:spacing w:after="40"/>
      </w:pPr>
      <w:r>
        <w:rPr>
          <w:rFonts w:ascii="Arial" w:hAnsi="Arial"/>
          <w:b/>
          <w:sz w:val="25"/>
        </w:rPr>
        <w:t>Wirtschaftsprüfung Gruber &amp; Seidl</w:t>
      </w:r>
    </w:p>
    <w:p>
      <w:pPr>
        <w:spacing w:after="200"/>
      </w:pPr>
      <w:r>
        <w:rPr>
          <w:rFonts w:ascii="Arial" w:hAnsi="Arial"/>
          <w:color w:val="586069"/>
          <w:sz w:val="17"/>
        </w:rPr>
        <w:t>Unternehmensbewertung | Neuburger Straße 88 | 94036 Passau</w:t>
      </w:r>
    </w:p>
    <w:p>
      <w:pPr>
        <w:spacing w:after="160"/>
      </w:pPr>
      <w:r>
        <w:t>Kanzlei Donau Familienrecht</w:t>
      </w:r>
    </w:p>
    <w:p>
      <w:pPr>
        <w:spacing w:after="80"/>
      </w:pPr>
      <w:r>
        <w:rPr>
          <w:rFonts w:ascii="Arial" w:hAnsi="Arial"/>
          <w:color w:val="586069"/>
          <w:sz w:val="18"/>
        </w:rPr>
        <w:t>Datum: 10.07.2026  |  Zeichen: GS/ZP-26-71</w:t>
      </w:r>
    </w:p>
    <w:p>
      <w:pPr>
        <w:pStyle w:val="Title"/>
      </w:pPr>
      <w:r>
        <w:t>Unterlagenanforderung Zahnarztpraxis zum Bewertungsstichtag</w:t>
      </w:r>
    </w:p>
    <w:p>
      <w:pPr>
        <w:jc w:val="both"/>
      </w:pPr>
      <w:r>
        <w:t>Für eine nachvollziehbare Bewertung der Zahnarztpraxis zum 12. Februar 2026 benötigen wir die nachstehend bezeichneten Unterlagen. Die Bewertung wird Praxiswert, nicht betriebsnotwendiges Vermögen, Schulden und offene Forderungen transparent trennen.</w:t>
      </w:r>
    </w:p>
    <w:p>
      <w:pPr>
        <w:pStyle w:val="Heading1"/>
      </w:pPr>
      <w:r>
        <w:t>1. Finanzunterlagen</w:t>
      </w:r>
    </w:p>
    <w:p>
      <w:pPr>
        <w:jc w:val="both"/>
      </w:pPr>
      <w:r>
        <w:t>Anzufordern sind Jahresabschlüsse und Steuererklärungen 2022 bis 2025, BWA und Summen-Salden-Liste Januar bis Februar 2026, Kontenblätter, Anlagenspiegel, Darlehen, Leasing, Personalkosten, Privatentnahmen und außerordentliche Aufwendungen. Einmalige oder inhaberbezogene Effekte sollen mit Belegen erläutert werden.</w:t>
      </w:r>
    </w:p>
    <w:p>
      <w:pPr>
        <w:pStyle w:val="Heading1"/>
      </w:pPr>
      <w:r>
        <w:t>2. Praxisdaten</w:t>
      </w:r>
    </w:p>
    <w:p>
      <w:pPr>
        <w:jc w:val="both"/>
      </w:pPr>
      <w:r>
        <w:t>Benötigt werden Patienten- und Fallzahlen in anonymisierter Form, Kassen- und Privatumsätze, Behandlerstunden, Personalstruktur, Mietvertrag, Gerätebestand, Wartungsverträge, Laborvereinbarungen und Investitionsbedarf. Personenbezogene Behandlungsdaten sind nicht zu übermitteln.</w:t>
      </w:r>
    </w:p>
    <w:p>
      <w:pPr>
        <w:pStyle w:val="Heading1"/>
      </w:pPr>
      <w:r>
        <w:t>3. Forderungen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tblInd w:w="120" w:type="dxa"/>
      </w:tblPr>
      <w:tblGrid>
        <w:gridCol w:w="3900"/>
        <w:gridCol w:w="5700"/>
      </w:tblGrid>
      <w:tr>
        <w:trPr>
          <w:tblHeader w:val="true"/>
        </w:trPr>
        <w:tc>
          <w:tcPr>
            <w:tcW w:type="dxa" w:w="39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Datenfeld</w:t>
            </w:r>
          </w:p>
        </w:tc>
        <w:tc>
          <w:tcPr>
            <w:tcW w:type="dxa" w:w="5700"/>
            <w:vAlign w:val="center"/>
            <w:shd w:fill="DCE6F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Zweck</w:t>
            </w:r>
          </w:p>
        </w:tc>
      </w:tr>
      <w:tr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Rechnungsnummer und Leistungsdatum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Altersstruktur</w:t>
            </w:r>
          </w:p>
        </w:tc>
      </w:tr>
      <w:tr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Nennbetrag und Zahlungseingänge</w:t>
            </w:r>
          </w:p>
        </w:tc>
        <w:tc>
          <w:tcPr>
            <w:tcW w:type="dxa" w:w="5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offener Saldo</w:t>
            </w:r>
          </w:p>
        </w:tc>
      </w:tr>
      <w:tr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Mahnstufe / Einwendungen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Einbringlichkeitsrisiko</w:t>
            </w:r>
          </w:p>
        </w:tc>
      </w:tr>
      <w:tr>
        <w:tc>
          <w:tcPr>
            <w:tcW w:type="dxa" w:w="39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Kostenträger</w:t>
            </w:r>
          </w:p>
        </w:tc>
        <w:tc>
          <w:tcPr>
            <w:tcW w:type="dxa" w:w="5700"/>
            <w:vAlign w:val="center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Abrechnungsweg</w:t>
            </w:r>
          </w:p>
        </w:tc>
      </w:tr>
      <w:tr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nachträglicher Eingang</w:t>
            </w:r>
          </w:p>
        </w:tc>
        <w:tc>
          <w:tcPr>
            <w:tcW w:type="dxa" w:w="5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/>
                <w:sz w:val="17"/>
              </w:rPr>
              <w:t>Stichtagsplausibilisierung</w:t>
            </w:r>
          </w:p>
        </w:tc>
      </w:tr>
    </w:tbl>
    <w:p>
      <w:pPr>
        <w:spacing w:after="0"/>
      </w:pPr>
    </w:p>
    <w:p>
      <w:pPr>
        <w:pStyle w:val="Heading1"/>
      </w:pPr>
      <w:r>
        <w:t>4. Ergebnisdarstellung</w:t>
      </w:r>
    </w:p>
    <w:p>
      <w:pPr>
        <w:jc w:val="both"/>
      </w:pPr>
      <w:r>
        <w:t>Das Gutachten soll Bewertungsmethode, Normalisierungen, Kapitalisierungsparameter, Bandbreiten und Sensitivitäten offenlegen. Steuerliche Buchwerte und familienrechtlich maßgebliche Werte werden nicht gleichgesetzt. Rechtliche Schlussfolgerungen bleiben den Bevollmächtigten vorbehalten.</w:t>
      </w:r>
    </w:p>
    <w:p>
      <w:pPr>
        <w:jc w:val="both"/>
      </w:pPr>
      <w:r>
        <w:t>Dr. Martin Gruber Wirtschaftsprüfer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586069"/>
        <w:sz w:val="16"/>
      </w:rPr>
      <w:t xml:space="preserve">Seite </w:t>
    </w:r>
    <w:r>
      <w:rPr>
        <w:rFonts w:ascii="Arial" w:hAnsi="Arial"/>
        <w:color w:val="58606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586069"/>
        <w:sz w:val="16"/>
      </w:rPr>
      <w:t>Wirtschaftsprüfung Gruber &amp; Seidl  |  GS/ZP-26-71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Unterlagenanforderung Zahnarztpraxis zum Bewertungsstichtag</dc:title>
  <dc:subject>GS/ZP-26-71</dc:subject>
  <dc:creator>Klotzkette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