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05 — Due-Diligence-Kurzbericht (Sell-Side / DD-Memo)</w:t>
      </w:r>
    </w:p>
    <w:p>
      <w:pPr>
        <w:spacing w:line="259" w:lineRule="auto" w:after="60"/>
        <w:ind w:left="567"/>
      </w:pPr>
      <w:r>
        <w:rPr>
          <w:i/>
        </w:rPr>
        <w:t>Auftrag: Sachverhaltsklärung für die Beschlussvorlage des Gläubigerausschusses (Az. 06_…) sowie zur Vorbereitung des Asset-Purchase-Agreements (Az. 09_…). Erstellt durch RAin Beate Lottberg (Corporate) und WP Edzard Quintbeck, Datum 12.06.2026.</w:t>
      </w:r>
    </w:p>
    <w:p>
      <w:pPr>
        <w:pStyle w:val="Heading2"/>
        <w:spacing w:before="120" w:after="60" w:line="259" w:lineRule="auto"/>
      </w:pPr>
      <w:r>
        <w:rPr>
          <w:rFonts w:ascii="Times New Roman" w:hAnsi="Times New Roman"/>
          <w:b/>
          <w:sz w:val="22"/>
        </w:rPr>
        <w:t>1. Gesellschaftsrechtliche Lage der Schuldnerin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Punkt</w:t>
            </w:r>
          </w:p>
        </w:tc>
        <w:tc>
          <w:tcPr>
            <w:tcW w:type="dxa" w:w="4536"/>
          </w:tcPr>
          <w:p>
            <w:r>
              <w:rPr>
                <w:rFonts w:ascii="Times New Roman" w:hAnsi="Times New Roman"/>
                <w:b/>
                <w:sz w:val="20"/>
              </w:rPr>
              <w:t>Inhalt</w:t>
            </w:r>
          </w:p>
        </w:tc>
      </w:tr>
      <w:tr>
        <w:tc>
          <w:tcPr>
            <w:tcW w:type="dxa" w:w="4536"/>
          </w:tcPr>
          <w:p>
            <w:r>
              <w:rPr>
                <w:rFonts w:ascii="Times New Roman" w:hAnsi="Times New Roman"/>
                <w:sz w:val="20"/>
              </w:rPr>
              <w:t>Rechtsform</w:t>
            </w:r>
          </w:p>
        </w:tc>
        <w:tc>
          <w:tcPr>
            <w:tcW w:type="dxa" w:w="4536"/>
          </w:tcPr>
          <w:p>
            <w:r>
              <w:rPr>
                <w:rFonts w:ascii="Times New Roman" w:hAnsi="Times New Roman"/>
                <w:sz w:val="20"/>
              </w:rPr>
              <w:t>GmbH, HRB 234567 B AG Charlottenburg</w:t>
            </w:r>
          </w:p>
        </w:tc>
      </w:tr>
      <w:tr>
        <w:tc>
          <w:tcPr>
            <w:tcW w:type="dxa" w:w="4536"/>
          </w:tcPr>
          <w:p>
            <w:r>
              <w:rPr>
                <w:rFonts w:ascii="Times New Roman" w:hAnsi="Times New Roman"/>
                <w:sz w:val="20"/>
              </w:rPr>
              <w:t>Stammkapital</w:t>
            </w:r>
          </w:p>
        </w:tc>
        <w:tc>
          <w:tcPr>
            <w:tcW w:type="dxa" w:w="4536"/>
          </w:tcPr>
          <w:p>
            <w:r>
              <w:rPr>
                <w:rFonts w:ascii="Times New Roman" w:hAnsi="Times New Roman"/>
                <w:sz w:val="20"/>
              </w:rPr>
              <w:t>25.000 EUR (voll eingezahlt)</w:t>
            </w:r>
          </w:p>
        </w:tc>
      </w:tr>
      <w:tr>
        <w:tc>
          <w:tcPr>
            <w:tcW w:type="dxa" w:w="4536"/>
          </w:tcPr>
          <w:p>
            <w:r>
              <w:rPr>
                <w:rFonts w:ascii="Times New Roman" w:hAnsi="Times New Roman"/>
                <w:sz w:val="20"/>
              </w:rPr>
              <w:t>Gesellschafter</w:t>
            </w:r>
          </w:p>
        </w:tc>
        <w:tc>
          <w:tcPr>
            <w:tcW w:type="dxa" w:w="4536"/>
          </w:tcPr>
          <w:p>
            <w:r>
              <w:rPr>
                <w:rFonts w:ascii="Times New Roman" w:hAnsi="Times New Roman"/>
                <w:sz w:val="20"/>
              </w:rPr>
              <w:t>Hatchprism Holdings B.V. (NL, 64 %), Vitalis Capital Partners GmbH (DE, 26 %), Gründer-Mitarbeiter-ESOP (10 %, verwässert nach Anti-Dilution)</w:t>
            </w:r>
          </w:p>
        </w:tc>
      </w:tr>
      <w:tr>
        <w:tc>
          <w:tcPr>
            <w:tcW w:type="dxa" w:w="4536"/>
          </w:tcPr>
          <w:p>
            <w:r>
              <w:rPr>
                <w:rFonts w:ascii="Times New Roman" w:hAnsi="Times New Roman"/>
                <w:sz w:val="20"/>
              </w:rPr>
              <w:t>Geschäftsführung</w:t>
            </w:r>
          </w:p>
        </w:tc>
        <w:tc>
          <w:tcPr>
            <w:tcW w:type="dxa" w:w="4536"/>
          </w:tcPr>
          <w:p>
            <w:r>
              <w:rPr>
                <w:rFonts w:ascii="Times New Roman" w:hAnsi="Times New Roman"/>
                <w:sz w:val="20"/>
              </w:rPr>
              <w:t>Jasper Knoebel-Brandeis (seit 2019, Eigenantragsteller)</w:t>
            </w:r>
          </w:p>
        </w:tc>
      </w:tr>
      <w:tr>
        <w:tc>
          <w:tcPr>
            <w:tcW w:type="dxa" w:w="4536"/>
          </w:tcPr>
          <w:p>
            <w:r>
              <w:rPr>
                <w:rFonts w:ascii="Times New Roman" w:hAnsi="Times New Roman"/>
                <w:sz w:val="20"/>
              </w:rPr>
              <w:t>Beirat</w:t>
            </w:r>
          </w:p>
        </w:tc>
        <w:tc>
          <w:tcPr>
            <w:tcW w:type="dxa" w:w="4536"/>
          </w:tcPr>
          <w:p>
            <w:r>
              <w:rPr>
                <w:rFonts w:ascii="Times New Roman" w:hAnsi="Times New Roman"/>
                <w:sz w:val="20"/>
              </w:rPr>
              <w:t>Pro-forma; tagte zuletzt am 14.06.2025</w:t>
            </w:r>
          </w:p>
        </w:tc>
      </w:tr>
      <w:tr>
        <w:tc>
          <w:tcPr>
            <w:tcW w:type="dxa" w:w="4536"/>
          </w:tcPr>
          <w:p>
            <w:r>
              <w:rPr>
                <w:rFonts w:ascii="Times New Roman" w:hAnsi="Times New Roman"/>
                <w:sz w:val="20"/>
              </w:rPr>
              <w:t>Konzernzugehörigkeit</w:t>
            </w:r>
          </w:p>
        </w:tc>
        <w:tc>
          <w:tcPr>
            <w:tcW w:type="dxa" w:w="4536"/>
          </w:tcPr>
          <w:p>
            <w:r>
              <w:rPr>
                <w:rFonts w:ascii="Times New Roman" w:hAnsi="Times New Roman"/>
                <w:sz w:val="20"/>
              </w:rPr>
              <w:t>nein — keine T-Beziehung; reine Stand-alone-GmbH</w:t>
            </w:r>
          </w:p>
        </w:tc>
      </w:tr>
    </w:tbl>
    <w:p>
      <w:pPr>
        <w:pStyle w:val="Heading2"/>
        <w:spacing w:before="120" w:after="60" w:line="259" w:lineRule="auto"/>
      </w:pPr>
      <w:r>
        <w:rPr>
          <w:rFonts w:ascii="Times New Roman" w:hAnsi="Times New Roman"/>
          <w:b/>
          <w:sz w:val="22"/>
        </w:rPr>
        <w:t>2. Asset-Inventur (immaterielle Vermögensgegenstände)</w:t>
      </w:r>
    </w:p>
    <w:p>
      <w:pPr>
        <w:pStyle w:val="Heading3"/>
        <w:spacing w:before="120" w:after="60" w:line="259" w:lineRule="auto"/>
      </w:pPr>
      <w:r>
        <w:rPr>
          <w:rFonts w:ascii="Times New Roman" w:hAnsi="Times New Roman"/>
          <w:b/>
          <w:sz w:val="22"/>
        </w:rPr>
        <w:t>2.1 Software (eigenentwickelt)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Asset</w:t>
            </w:r>
          </w:p>
        </w:tc>
        <w:tc>
          <w:tcPr>
            <w:tcW w:type="dxa" w:w="2268"/>
          </w:tcPr>
          <w:p>
            <w:r>
              <w:rPr>
                <w:rFonts w:ascii="Times New Roman" w:hAnsi="Times New Roman"/>
                <w:b/>
                <w:sz w:val="20"/>
              </w:rPr>
              <w:t>Beschreibung</w:t>
            </w:r>
          </w:p>
        </w:tc>
        <w:tc>
          <w:tcPr>
            <w:tcW w:type="dxa" w:w="2268"/>
          </w:tcPr>
          <w:p>
            <w:r>
              <w:rPr>
                <w:rFonts w:ascii="Times New Roman" w:hAnsi="Times New Roman"/>
                <w:b/>
                <w:sz w:val="20"/>
              </w:rPr>
              <w:t>Repository (privat)</w:t>
            </w:r>
          </w:p>
        </w:tc>
        <w:tc>
          <w:tcPr>
            <w:tcW w:type="dxa" w:w="2268"/>
          </w:tcPr>
          <w:p>
            <w:r>
              <w:rPr>
                <w:rFonts w:ascii="Times New Roman" w:hAnsi="Times New Roman"/>
                <w:b/>
                <w:sz w:val="20"/>
              </w:rPr>
              <w:t>Lizenzstatus</w:t>
            </w:r>
          </w:p>
        </w:tc>
      </w:tr>
      <w:tr>
        <w:tc>
          <w:tcPr>
            <w:tcW w:type="dxa" w:w="2268"/>
          </w:tcPr>
          <w:p>
            <w:r>
              <w:rPr>
                <w:rFonts w:ascii="Times New Roman" w:hAnsi="Times New Roman"/>
                <w:sz w:val="20"/>
              </w:rPr>
              <w:t>ChainCortex Compliance Engine (CCE)</w:t>
            </w:r>
          </w:p>
        </w:tc>
        <w:tc>
          <w:tcPr>
            <w:tcW w:type="dxa" w:w="2268"/>
          </w:tcPr>
          <w:p>
            <w:r>
              <w:rPr>
                <w:rFonts w:ascii="Times New Roman" w:hAnsi="Times New Roman"/>
                <w:sz w:val="20"/>
              </w:rPr>
              <w:t>Hauptprodukt: KI-gestützte AML-Analyse-Pipeline für Krypto-Transaktionen (MiCAR-Compliance)</w:t>
            </w:r>
          </w:p>
        </w:tc>
        <w:tc>
          <w:tcPr>
            <w:tcW w:type="dxa" w:w="2268"/>
          </w:tcPr>
          <w:p>
            <w:r>
              <w:rPr>
                <w:rFonts w:ascii="Times New Roman" w:hAnsi="Times New Roman"/>
                <w:sz w:val="20"/>
              </w:rPr>
              <w:t>github.com/chaincortex/cce-core (private repo)</w:t>
            </w:r>
          </w:p>
        </w:tc>
        <w:tc>
          <w:tcPr>
            <w:tcW w:type="dxa" w:w="2268"/>
          </w:tcPr>
          <w:p>
            <w:r>
              <w:rPr>
                <w:rFonts w:ascii="Times New Roman" w:hAnsi="Times New Roman"/>
                <w:sz w:val="20"/>
              </w:rPr>
              <w:t>Allein-Inhaberin: Schuldnerin (Mitarbeiterurheber: § 69b UrhG, ausschließliche Nutzungsrechte)</w:t>
            </w:r>
          </w:p>
        </w:tc>
      </w:tr>
      <w:tr>
        <w:tc>
          <w:tcPr>
            <w:tcW w:type="dxa" w:w="2268"/>
          </w:tcPr>
          <w:p>
            <w:r>
              <w:rPr>
                <w:rFonts w:ascii="Times New Roman" w:hAnsi="Times New Roman"/>
                <w:sz w:val="20"/>
              </w:rPr>
              <w:t>BlockSight Sentinel</w:t>
            </w:r>
          </w:p>
        </w:tc>
        <w:tc>
          <w:tcPr>
            <w:tcW w:type="dxa" w:w="2268"/>
          </w:tcPr>
          <w:p>
            <w:r>
              <w:rPr>
                <w:rFonts w:ascii="Times New Roman" w:hAnsi="Times New Roman"/>
                <w:sz w:val="20"/>
              </w:rPr>
              <w:t>On-chain-Forensik-Tool (modulares Add-on zu CCE)</w:t>
            </w:r>
          </w:p>
        </w:tc>
        <w:tc>
          <w:tcPr>
            <w:tcW w:type="dxa" w:w="2268"/>
          </w:tcPr>
          <w:p>
            <w:r>
              <w:rPr>
                <w:rFonts w:ascii="Times New Roman" w:hAnsi="Times New Roman"/>
                <w:sz w:val="20"/>
              </w:rPr>
              <w:t>github.com/chaincortex/blocksight-sentinel</w:t>
            </w:r>
          </w:p>
        </w:tc>
        <w:tc>
          <w:tcPr>
            <w:tcW w:type="dxa" w:w="2268"/>
          </w:tcPr>
          <w:p>
            <w:r>
              <w:rPr>
                <w:rFonts w:ascii="Times New Roman" w:hAnsi="Times New Roman"/>
                <w:sz w:val="20"/>
              </w:rPr>
              <w:t>wie oben</w:t>
            </w:r>
          </w:p>
        </w:tc>
      </w:tr>
      <w:tr>
        <w:tc>
          <w:tcPr>
            <w:tcW w:type="dxa" w:w="2268"/>
          </w:tcPr>
          <w:p>
            <w:r>
              <w:rPr>
                <w:rFonts w:ascii="Times New Roman" w:hAnsi="Times New Roman"/>
                <w:sz w:val="20"/>
              </w:rPr>
              <w:t>InsightLLM Adapter</w:t>
            </w:r>
          </w:p>
        </w:tc>
        <w:tc>
          <w:tcPr>
            <w:tcW w:type="dxa" w:w="2268"/>
          </w:tcPr>
          <w:p>
            <w:r>
              <w:rPr>
                <w:rFonts w:ascii="Times New Roman" w:hAnsi="Times New Roman"/>
                <w:sz w:val="20"/>
              </w:rPr>
              <w:t>Mini-LLM-Wrapper (mit Anthropic/OpenAI-API; nicht weiterverkaufbar als LLM, nur Adapter-Code)</w:t>
            </w:r>
          </w:p>
        </w:tc>
        <w:tc>
          <w:tcPr>
            <w:tcW w:type="dxa" w:w="2268"/>
          </w:tcPr>
          <w:p>
            <w:r>
              <w:rPr>
                <w:rFonts w:ascii="Times New Roman" w:hAnsi="Times New Roman"/>
                <w:sz w:val="20"/>
              </w:rPr>
              <w:t>github.com/chaincortex/insightllm-adapter</w:t>
            </w:r>
          </w:p>
        </w:tc>
        <w:tc>
          <w:tcPr>
            <w:tcW w:type="dxa" w:w="2268"/>
          </w:tcPr>
          <w:p>
            <w:r>
              <w:rPr>
                <w:rFonts w:ascii="Times New Roman" w:hAnsi="Times New Roman"/>
                <w:sz w:val="20"/>
              </w:rPr>
              <w:t>wie oben</w:t>
            </w:r>
          </w:p>
        </w:tc>
      </w:tr>
      <w:tr>
        <w:tc>
          <w:tcPr>
            <w:tcW w:type="dxa" w:w="2268"/>
          </w:tcPr>
          <w:p>
            <w:r>
              <w:rPr>
                <w:rFonts w:ascii="Times New Roman" w:hAnsi="Times New Roman"/>
                <w:sz w:val="20"/>
              </w:rPr>
              <w:t>Schulungs-Datensätze</w:t>
            </w:r>
          </w:p>
        </w:tc>
        <w:tc>
          <w:tcPr>
            <w:tcW w:type="dxa" w:w="2268"/>
          </w:tcPr>
          <w:p>
            <w:r>
              <w:rPr>
                <w:rFonts w:ascii="Times New Roman" w:hAnsi="Times New Roman"/>
                <w:sz w:val="20"/>
              </w:rPr>
              <w:t>anonymisierte/synthetische On-chain-Daten für Modell-Fine-Tuning</w:t>
            </w:r>
          </w:p>
        </w:tc>
        <w:tc>
          <w:tcPr>
            <w:tcW w:type="dxa" w:w="2268"/>
          </w:tcPr>
          <w:p>
            <w:r>
              <w:rPr>
                <w:rFonts w:ascii="Times New Roman" w:hAnsi="Times New Roman"/>
                <w:sz w:val="20"/>
              </w:rPr>
              <w:t xml:space="preserve">im Repo </w:t>
            </w:r>
            <w:r>
              <w:rPr>
                <w:rFonts w:ascii="Times New Roman" w:hAnsi="Times New Roman"/>
                <w:sz w:val="20"/>
              </w:rPr>
              <w:t>chaincortex/training-data</w:t>
            </w:r>
            <w:r>
              <w:rPr>
                <w:rFonts w:ascii="Times New Roman" w:hAnsi="Times New Roman"/>
                <w:sz w:val="20"/>
              </w:rPr>
              <w:t xml:space="preserve"> (privat; DSGVO-konform, da synthetisch)</w:t>
            </w:r>
          </w:p>
        </w:tc>
        <w:tc>
          <w:tcPr>
            <w:tcW w:type="dxa" w:w="2268"/>
          </w:tcPr>
          <w:p>
            <w:r>
              <w:rPr>
                <w:rFonts w:ascii="Times New Roman" w:hAnsi="Times New Roman"/>
                <w:sz w:val="20"/>
              </w:rPr>
              <w:t>Allein-Inhaberin</w:t>
            </w:r>
          </w:p>
        </w:tc>
      </w:tr>
    </w:tbl>
    <w:p>
      <w:pPr>
        <w:spacing w:line="259" w:lineRule="auto" w:after="60"/>
        <w:jc w:val="left"/>
      </w:pPr>
      <w:r>
        <w:t>Open-Source-Audit: Nikolas Reuckershoff (Tech-Lead Schuldnerin) hat die OSS-Compliance-Untersuchung im Datenraum abgelegt. Die Auswertung nennt 47 Komponenten, davon 38 unter MIT/Apache-2.0, 7 unter LGPL-3.0 mit dynamischem Linking und 2 GPL-3.0-Build-Tools ohne Übernahme in das ausgelieferte Produkt. Eine Kontamination der Hauptcodebasis ist nach der Prüfung nicht ersichtlich.</w:t>
      </w:r>
    </w:p>
    <w:p>
      <w:pPr>
        <w:pStyle w:val="Heading3"/>
        <w:spacing w:before="120" w:after="60" w:line="259" w:lineRule="auto"/>
      </w:pPr>
      <w:r>
        <w:rPr>
          <w:rFonts w:ascii="Times New Roman" w:hAnsi="Times New Roman"/>
          <w:b/>
          <w:sz w:val="22"/>
        </w:rPr>
        <w:t>2.2 Markenrechte (DPMA-Eintragungen)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Marke</w:t>
            </w:r>
          </w:p>
        </w:tc>
        <w:tc>
          <w:tcPr>
            <w:tcW w:type="dxa" w:w="1814"/>
          </w:tcPr>
          <w:p>
            <w:r>
              <w:rPr>
                <w:rFonts w:ascii="Times New Roman" w:hAnsi="Times New Roman"/>
                <w:b/>
                <w:sz w:val="20"/>
              </w:rPr>
              <w:t>Form</w:t>
            </w:r>
          </w:p>
        </w:tc>
        <w:tc>
          <w:tcPr>
            <w:tcW w:type="dxa" w:w="1814"/>
          </w:tcPr>
          <w:p>
            <w:r>
              <w:rPr>
                <w:rFonts w:ascii="Times New Roman" w:hAnsi="Times New Roman"/>
                <w:b/>
                <w:sz w:val="20"/>
              </w:rPr>
              <w:t>Reg.-Nr.</w:t>
            </w:r>
          </w:p>
        </w:tc>
        <w:tc>
          <w:tcPr>
            <w:tcW w:type="dxa" w:w="1814"/>
          </w:tcPr>
          <w:p>
            <w:r>
              <w:rPr>
                <w:rFonts w:ascii="Times New Roman" w:hAnsi="Times New Roman"/>
                <w:b/>
                <w:sz w:val="20"/>
              </w:rPr>
              <w:t>Klassen</w:t>
            </w:r>
          </w:p>
        </w:tc>
        <w:tc>
          <w:tcPr>
            <w:tcW w:type="dxa" w:w="1814"/>
          </w:tcPr>
          <w:p>
            <w:r>
              <w:rPr>
                <w:rFonts w:ascii="Times New Roman" w:hAnsi="Times New Roman"/>
                <w:b/>
                <w:sz w:val="20"/>
              </w:rPr>
              <w:t>Status</w:t>
            </w:r>
          </w:p>
        </w:tc>
      </w:tr>
      <w:tr>
        <w:tc>
          <w:tcPr>
            <w:tcW w:type="dxa" w:w="1814"/>
          </w:tcPr>
          <w:p>
            <w:r>
              <w:rPr>
                <w:rFonts w:ascii="Times New Roman" w:hAnsi="Times New Roman"/>
                <w:sz w:val="20"/>
              </w:rPr>
              <w:t>ChainCortex</w:t>
            </w:r>
          </w:p>
        </w:tc>
        <w:tc>
          <w:tcPr>
            <w:tcW w:type="dxa" w:w="1814"/>
          </w:tcPr>
          <w:p>
            <w:r>
              <w:rPr>
                <w:rFonts w:ascii="Times New Roman" w:hAnsi="Times New Roman"/>
                <w:sz w:val="20"/>
              </w:rPr>
              <w:t>Wortmarke</w:t>
            </w:r>
          </w:p>
        </w:tc>
        <w:tc>
          <w:tcPr>
            <w:tcW w:type="dxa" w:w="1814"/>
          </w:tcPr>
          <w:p>
            <w:r>
              <w:rPr>
                <w:rFonts w:ascii="Times New Roman" w:hAnsi="Times New Roman"/>
                <w:sz w:val="20"/>
              </w:rPr>
              <w:t>DE 30 2023 045 678</w:t>
            </w:r>
          </w:p>
        </w:tc>
        <w:tc>
          <w:tcPr>
            <w:tcW w:type="dxa" w:w="1814"/>
          </w:tcPr>
          <w:p>
            <w:r>
              <w:rPr>
                <w:rFonts w:ascii="Times New Roman" w:hAnsi="Times New Roman"/>
                <w:sz w:val="20"/>
              </w:rPr>
              <w:t>9, 42</w:t>
            </w:r>
          </w:p>
        </w:tc>
        <w:tc>
          <w:tcPr>
            <w:tcW w:type="dxa" w:w="1814"/>
          </w:tcPr>
          <w:p>
            <w:r>
              <w:rPr>
                <w:rFonts w:ascii="Times New Roman" w:hAnsi="Times New Roman"/>
                <w:sz w:val="20"/>
              </w:rPr>
              <w:t>eingetragen, Verlängerung 2033</w:t>
            </w:r>
          </w:p>
        </w:tc>
      </w:tr>
      <w:tr>
        <w:tc>
          <w:tcPr>
            <w:tcW w:type="dxa" w:w="1814"/>
          </w:tcPr>
          <w:p>
            <w:r>
              <w:rPr>
                <w:rFonts w:ascii="Times New Roman" w:hAnsi="Times New Roman"/>
                <w:sz w:val="20"/>
              </w:rPr>
              <w:t>BlockSight</w:t>
            </w:r>
          </w:p>
        </w:tc>
        <w:tc>
          <w:tcPr>
            <w:tcW w:type="dxa" w:w="1814"/>
          </w:tcPr>
          <w:p>
            <w:r>
              <w:rPr>
                <w:rFonts w:ascii="Times New Roman" w:hAnsi="Times New Roman"/>
                <w:sz w:val="20"/>
              </w:rPr>
              <w:t>Wortmarke</w:t>
            </w:r>
          </w:p>
        </w:tc>
        <w:tc>
          <w:tcPr>
            <w:tcW w:type="dxa" w:w="1814"/>
          </w:tcPr>
          <w:p>
            <w:r>
              <w:rPr>
                <w:rFonts w:ascii="Times New Roman" w:hAnsi="Times New Roman"/>
                <w:sz w:val="20"/>
              </w:rPr>
              <w:t>DE 30 2024 098 765</w:t>
            </w:r>
          </w:p>
        </w:tc>
        <w:tc>
          <w:tcPr>
            <w:tcW w:type="dxa" w:w="1814"/>
          </w:tcPr>
          <w:p>
            <w:r>
              <w:rPr>
                <w:rFonts w:ascii="Times New Roman" w:hAnsi="Times New Roman"/>
                <w:sz w:val="20"/>
              </w:rPr>
              <w:t>9, 42</w:t>
            </w:r>
          </w:p>
        </w:tc>
        <w:tc>
          <w:tcPr>
            <w:tcW w:type="dxa" w:w="1814"/>
          </w:tcPr>
          <w:p>
            <w:r>
              <w:rPr>
                <w:rFonts w:ascii="Times New Roman" w:hAnsi="Times New Roman"/>
                <w:sz w:val="20"/>
              </w:rPr>
              <w:t>eingetragen, Verlängerung 2034</w:t>
            </w:r>
          </w:p>
        </w:tc>
      </w:tr>
      <w:tr>
        <w:tc>
          <w:tcPr>
            <w:tcW w:type="dxa" w:w="1814"/>
          </w:tcPr>
          <w:p>
            <w:r>
              <w:rPr>
                <w:rFonts w:ascii="Times New Roman" w:hAnsi="Times New Roman"/>
                <w:sz w:val="20"/>
              </w:rPr>
              <w:t>ChainCortex (Logo)</w:t>
            </w:r>
          </w:p>
        </w:tc>
        <w:tc>
          <w:tcPr>
            <w:tcW w:type="dxa" w:w="1814"/>
          </w:tcPr>
          <w:p>
            <w:r>
              <w:rPr>
                <w:rFonts w:ascii="Times New Roman" w:hAnsi="Times New Roman"/>
                <w:sz w:val="20"/>
              </w:rPr>
              <w:t>Bildmarke</w:t>
            </w:r>
          </w:p>
        </w:tc>
        <w:tc>
          <w:tcPr>
            <w:tcW w:type="dxa" w:w="1814"/>
          </w:tcPr>
          <w:p>
            <w:r>
              <w:rPr>
                <w:rFonts w:ascii="Times New Roman" w:hAnsi="Times New Roman"/>
                <w:sz w:val="20"/>
              </w:rPr>
              <w:t>DE 30 2023 045 679</w:t>
            </w:r>
          </w:p>
        </w:tc>
        <w:tc>
          <w:tcPr>
            <w:tcW w:type="dxa" w:w="1814"/>
          </w:tcPr>
          <w:p>
            <w:r>
              <w:rPr>
                <w:rFonts w:ascii="Times New Roman" w:hAnsi="Times New Roman"/>
                <w:sz w:val="20"/>
              </w:rPr>
              <w:t>9, 42</w:t>
            </w:r>
          </w:p>
        </w:tc>
        <w:tc>
          <w:tcPr>
            <w:tcW w:type="dxa" w:w="1814"/>
          </w:tcPr>
          <w:p>
            <w:r>
              <w:rPr>
                <w:rFonts w:ascii="Times New Roman" w:hAnsi="Times New Roman"/>
                <w:sz w:val="20"/>
              </w:rPr>
              <w:t>eingetragen, Verlängerung 2033</w:t>
            </w:r>
          </w:p>
        </w:tc>
      </w:tr>
    </w:tbl>
    <w:p>
      <w:pPr>
        <w:spacing w:line="259" w:lineRule="auto" w:after="60"/>
        <w:jc w:val="left"/>
      </w:pPr>
      <w:r>
        <w:t>Eintragungen frei von Belastungen Dritter; keine Widerspruchsverfahren; keine Pfändungen.</w:t>
      </w:r>
    </w:p>
    <w:p>
      <w:pPr>
        <w:pStyle w:val="Heading3"/>
        <w:spacing w:line="259" w:lineRule="auto" w:after="60"/>
      </w:pPr>
      <w:r>
        <w:rPr>
          <w:rFonts w:ascii="Times New Roman" w:hAnsi="Times New Roman"/>
        </w:rPr>
        <w:t>2.3 Domains</w:t>
      </w:r>
    </w:p>
    <w:p>
      <w:pPr>
        <w:pStyle w:val="ListBullet"/>
        <w:spacing w:line="259" w:lineRule="auto" w:after="60"/>
      </w:pPr>
      <w:r>
        <w:t>chaincortex.ai (Registrar: united-domains GmbH; KK frei)</w:t>
      </w:r>
    </w:p>
    <w:p>
      <w:pPr>
        <w:pStyle w:val="ListBullet"/>
        <w:spacing w:line="259" w:lineRule="auto" w:after="60"/>
      </w:pPr>
      <w:r>
        <w:t>chaincortex.io (Registrar: GoDaddy)</w:t>
      </w:r>
    </w:p>
    <w:p>
      <w:pPr>
        <w:pStyle w:val="ListBullet"/>
        <w:spacing w:line="259" w:lineRule="auto" w:after="60"/>
      </w:pPr>
      <w:r>
        <w:t>blocksight-sentinel.io (Registrar: GoDaddy)</w:t>
      </w:r>
    </w:p>
    <w:p>
      <w:pPr>
        <w:pStyle w:val="ListBullet"/>
        <w:spacing w:line="259" w:lineRule="auto" w:after="60"/>
      </w:pPr>
      <w:r>
        <w:t>blocksight.de (Registrar: united-domains GmbH)</w:t>
      </w:r>
    </w:p>
    <w:p>
      <w:pPr>
        <w:pStyle w:val="Heading3"/>
        <w:spacing w:line="259" w:lineRule="auto" w:after="60"/>
      </w:pPr>
      <w:r>
        <w:rPr>
          <w:rFonts w:ascii="Times New Roman" w:hAnsi="Times New Roman"/>
        </w:rPr>
        <w:t>2.4 Know-how / Geschäftsgeheimnisse (GeschGehG § 2)</w:t>
      </w:r>
    </w:p>
    <w:p>
      <w:pPr>
        <w:pStyle w:val="ListBullet"/>
        <w:spacing w:line="259" w:lineRule="auto" w:after="60"/>
      </w:pPr>
      <w:r>
        <w:t xml:space="preserve">Anlernpipelines für CCE-Modell (dokumentiert in </w:t>
      </w:r>
      <w:r>
        <w:t>docs/training-pipeline.md</w:t>
      </w:r>
      <w:r>
        <w:t xml:space="preserve"> Repo </w:t>
      </w:r>
      <w:r>
        <w:t>cce-core</w:t>
      </w:r>
      <w:r>
        <w:t>)</w:t>
      </w:r>
    </w:p>
    <w:p>
      <w:pPr>
        <w:pStyle w:val="ListBullet"/>
        <w:spacing w:line="259" w:lineRule="auto" w:after="60"/>
      </w:pPr>
      <w:r>
        <w:t>AML-Heuristik-Bibliothek (proprietär; nicht in öffentlich publizierten Whitepapers offengelegt)</w:t>
      </w:r>
    </w:p>
    <w:p>
      <w:pPr>
        <w:pStyle w:val="ListBullet"/>
        <w:spacing w:line="259" w:lineRule="auto" w:after="60"/>
      </w:pPr>
      <w:r>
        <w:t xml:space="preserve">Modellgewichte: aktuelles Checkpoint (Q4/2025) im Repo </w:t>
      </w:r>
      <w:r>
        <w:t>chaincortex/cce-checkpoints</w:t>
      </w:r>
      <w:r>
        <w:t xml:space="preserve"> (privat, ~3.2 GB)</w:t>
      </w:r>
    </w:p>
    <w:p>
      <w:pPr>
        <w:spacing w:line="259" w:lineRule="auto" w:after="60"/>
        <w:jc w:val="left"/>
      </w:pPr>
      <w:r>
        <w:t>Schutzmaßnahmen (für § 2 Nr. 1b GeschGehG): Verträge AN mit Verschwiegenheits- und Werkschöpfungsklauseln (siehe AN-Verträge im Datenraum); MFA + Branch-Protection + Need-to-Know-Prinzip.</w:t>
      </w:r>
    </w:p>
    <w:p>
      <w:pPr>
        <w:pStyle w:val="Heading2"/>
        <w:spacing w:line="259" w:lineRule="auto" w:after="60"/>
      </w:pPr>
      <w:r>
        <w:rPr>
          <w:rFonts w:ascii="Times New Roman" w:hAnsi="Times New Roman"/>
        </w:rPr>
        <w:t>3. Vertragslage (Auswahl)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Typ</w:t>
            </w:r>
          </w:p>
        </w:tc>
        <w:tc>
          <w:tcPr>
            <w:tcW w:type="dxa" w:w="2268"/>
          </w:tcPr>
          <w:p>
            <w:r>
              <w:rPr>
                <w:rFonts w:ascii="Times New Roman" w:hAnsi="Times New Roman"/>
                <w:b/>
                <w:sz w:val="20"/>
              </w:rPr>
              <w:t>Vertragspartner</w:t>
            </w:r>
          </w:p>
        </w:tc>
        <w:tc>
          <w:tcPr>
            <w:tcW w:type="dxa" w:w="2268"/>
          </w:tcPr>
          <w:p>
            <w:r>
              <w:rPr>
                <w:rFonts w:ascii="Times New Roman" w:hAnsi="Times New Roman"/>
                <w:b/>
                <w:sz w:val="20"/>
              </w:rPr>
              <w:t>Status</w:t>
            </w:r>
          </w:p>
        </w:tc>
        <w:tc>
          <w:tcPr>
            <w:tcW w:type="dxa" w:w="2268"/>
          </w:tcPr>
          <w:p>
            <w:r>
              <w:rPr>
                <w:rFonts w:ascii="Times New Roman" w:hAnsi="Times New Roman"/>
                <w:b/>
                <w:sz w:val="20"/>
              </w:rPr>
              <w:t>Hinweise</w:t>
            </w:r>
          </w:p>
        </w:tc>
      </w:tr>
      <w:tr>
        <w:tc>
          <w:tcPr>
            <w:tcW w:type="dxa" w:w="2268"/>
          </w:tcPr>
          <w:p>
            <w:r>
              <w:rPr>
                <w:rFonts w:ascii="Times New Roman" w:hAnsi="Times New Roman"/>
                <w:sz w:val="20"/>
              </w:rPr>
              <w:t>SaaS-Kundenvertrag (B2B)</w:t>
            </w:r>
          </w:p>
        </w:tc>
        <w:tc>
          <w:tcPr>
            <w:tcW w:type="dxa" w:w="2268"/>
          </w:tcPr>
          <w:p>
            <w:r>
              <w:rPr>
                <w:rFonts w:ascii="Times New Roman" w:hAnsi="Times New Roman"/>
                <w:sz w:val="20"/>
              </w:rPr>
              <w:t xml:space="preserve">12 aktive Kunden — siehe </w:t>
            </w:r>
            <w:r>
              <w:rPr>
                <w:rFonts w:ascii="Times New Roman" w:hAnsi="Times New Roman"/>
                <w:sz w:val="20"/>
              </w:rPr>
              <w:t>xlsx/kundendaten-business.xlsx</w:t>
            </w:r>
          </w:p>
        </w:tc>
        <w:tc>
          <w:tcPr>
            <w:tcW w:type="dxa" w:w="2268"/>
          </w:tcPr>
          <w:p>
            <w:r>
              <w:rPr>
                <w:rFonts w:ascii="Times New Roman" w:hAnsi="Times New Roman"/>
                <w:sz w:val="20"/>
              </w:rPr>
              <w:t>sämtlich gekündigt zum 31.07.2026 von Schuldnerseite (§ 103 InsO Wahlrechts-Verzicht des Verwalters); Voracis verhandelt Neuabschluss</w:t>
            </w:r>
          </w:p>
        </w:tc>
        <w:tc>
          <w:tcPr>
            <w:tcW w:type="dxa" w:w="2268"/>
          </w:tcPr>
          <w:p/>
        </w:tc>
      </w:tr>
      <w:tr>
        <w:tc>
          <w:tcPr>
            <w:tcW w:type="dxa" w:w="2268"/>
          </w:tcPr>
          <w:p>
            <w:r>
              <w:rPr>
                <w:rFonts w:ascii="Times New Roman" w:hAnsi="Times New Roman"/>
                <w:sz w:val="20"/>
              </w:rPr>
              <w:t>SaaS-Kundenvertrag (B2C)</w:t>
            </w:r>
          </w:p>
        </w:tc>
        <w:tc>
          <w:tcPr>
            <w:tcW w:type="dxa" w:w="2268"/>
          </w:tcPr>
          <w:p>
            <w:r>
              <w:rPr>
                <w:rFonts w:ascii="Times New Roman" w:hAnsi="Times New Roman"/>
                <w:sz w:val="20"/>
              </w:rPr>
              <w:t xml:space="preserve">8 aktive Privatkunden — siehe </w:t>
            </w:r>
            <w:r>
              <w:rPr>
                <w:rFonts w:ascii="Times New Roman" w:hAnsi="Times New Roman"/>
                <w:sz w:val="20"/>
              </w:rPr>
              <w:t>xlsx/kundendaten-privat.xlsx</w:t>
            </w:r>
          </w:p>
        </w:tc>
        <w:tc>
          <w:tcPr>
            <w:tcW w:type="dxa" w:w="2268"/>
          </w:tcPr>
          <w:p>
            <w:r>
              <w:rPr>
                <w:rFonts w:ascii="Times New Roman" w:hAnsi="Times New Roman"/>
                <w:sz w:val="20"/>
              </w:rPr>
              <w:t>analog gekündigt; Voracis bietet Neuabschluss + Datentransfer-Information</w:t>
            </w:r>
          </w:p>
        </w:tc>
        <w:tc>
          <w:tcPr>
            <w:tcW w:type="dxa" w:w="2268"/>
          </w:tcPr>
          <w:p/>
        </w:tc>
      </w:tr>
      <w:tr>
        <w:tc>
          <w:tcPr>
            <w:tcW w:type="dxa" w:w="2268"/>
          </w:tcPr>
          <w:p>
            <w:r>
              <w:rPr>
                <w:rFonts w:ascii="Times New Roman" w:hAnsi="Times New Roman"/>
                <w:sz w:val="20"/>
              </w:rPr>
              <w:t>Miete Büroräume Linienstraße</w:t>
            </w:r>
          </w:p>
        </w:tc>
        <w:tc>
          <w:tcPr>
            <w:tcW w:type="dxa" w:w="2268"/>
          </w:tcPr>
          <w:p>
            <w:r>
              <w:rPr>
                <w:rFonts w:ascii="Times New Roman" w:hAnsi="Times New Roman"/>
                <w:sz w:val="20"/>
              </w:rPr>
              <w:t>Pebbo Immo GmbH</w:t>
            </w:r>
          </w:p>
        </w:tc>
        <w:tc>
          <w:tcPr>
            <w:tcW w:type="dxa" w:w="2268"/>
          </w:tcPr>
          <w:p>
            <w:r>
              <w:rPr>
                <w:rFonts w:ascii="Times New Roman" w:hAnsi="Times New Roman"/>
                <w:sz w:val="20"/>
              </w:rPr>
              <w:t>Kündigung Verwalter § 109 InsO; geräumt 30.06.2026</w:t>
            </w:r>
          </w:p>
        </w:tc>
        <w:tc>
          <w:tcPr>
            <w:tcW w:type="dxa" w:w="2268"/>
          </w:tcPr>
          <w:p/>
        </w:tc>
      </w:tr>
      <w:tr>
        <w:tc>
          <w:tcPr>
            <w:tcW w:type="dxa" w:w="2268"/>
          </w:tcPr>
          <w:p>
            <w:r>
              <w:rPr>
                <w:rFonts w:ascii="Times New Roman" w:hAnsi="Times New Roman"/>
                <w:sz w:val="20"/>
              </w:rPr>
              <w:t>Cloud-Hosting AWS (Frankfurt-Region)</w:t>
            </w:r>
          </w:p>
        </w:tc>
        <w:tc>
          <w:tcPr>
            <w:tcW w:type="dxa" w:w="2268"/>
          </w:tcPr>
          <w:p>
            <w:r>
              <w:rPr>
                <w:rFonts w:ascii="Times New Roman" w:hAnsi="Times New Roman"/>
                <w:sz w:val="20"/>
              </w:rPr>
              <w:t>AWS Inc.</w:t>
            </w:r>
          </w:p>
        </w:tc>
        <w:tc>
          <w:tcPr>
            <w:tcW w:type="dxa" w:w="2268"/>
          </w:tcPr>
          <w:p>
            <w:r>
              <w:rPr>
                <w:rFonts w:ascii="Times New Roman" w:hAnsi="Times New Roman"/>
                <w:sz w:val="20"/>
              </w:rPr>
              <w:t>wird vertraglich abgelöst; Voracis übernimmt neue Account-Hülle</w:t>
            </w:r>
          </w:p>
        </w:tc>
        <w:tc>
          <w:tcPr>
            <w:tcW w:type="dxa" w:w="2268"/>
          </w:tcPr>
          <w:p/>
        </w:tc>
      </w:tr>
      <w:tr>
        <w:tc>
          <w:tcPr>
            <w:tcW w:type="dxa" w:w="2268"/>
          </w:tcPr>
          <w:p>
            <w:r>
              <w:rPr>
                <w:rFonts w:ascii="Times New Roman" w:hAnsi="Times New Roman"/>
                <w:sz w:val="20"/>
              </w:rPr>
              <w:t>Wartungsvertrag Hardware (Lenovo Workstations)</w:t>
            </w:r>
          </w:p>
        </w:tc>
        <w:tc>
          <w:tcPr>
            <w:tcW w:type="dxa" w:w="2268"/>
          </w:tcPr>
          <w:p>
            <w:r>
              <w:rPr>
                <w:rFonts w:ascii="Times New Roman" w:hAnsi="Times New Roman"/>
                <w:sz w:val="20"/>
              </w:rPr>
              <w:t>DataMid GmbH</w:t>
            </w:r>
          </w:p>
        </w:tc>
        <w:tc>
          <w:tcPr>
            <w:tcW w:type="dxa" w:w="2268"/>
          </w:tcPr>
          <w:p>
            <w:r>
              <w:rPr>
                <w:rFonts w:ascii="Times New Roman" w:hAnsi="Times New Roman"/>
                <w:sz w:val="20"/>
              </w:rPr>
              <w:t>bis 31.07.2026, Voracis übernimmt 7 Geräte separat (außerhalb dieses Asset Deals — Verkauf gegen Buchwert 4.200 EUR)</w:t>
            </w:r>
          </w:p>
        </w:tc>
        <w:tc>
          <w:tcPr>
            <w:tcW w:type="dxa" w:w="2268"/>
          </w:tcPr>
          <w:p/>
        </w:tc>
      </w:tr>
    </w:tbl>
    <w:p>
      <w:pPr>
        <w:pStyle w:val="Heading2"/>
        <w:spacing w:line="259" w:lineRule="auto" w:after="60"/>
      </w:pPr>
      <w:r>
        <w:rPr>
          <w:rFonts w:ascii="Times New Roman" w:hAnsi="Times New Roman"/>
        </w:rPr>
        <w:t>4. Arbeitnehmer</w:t>
      </w:r>
    </w:p>
    <w:p>
      <w:pPr>
        <w:spacing w:line="259" w:lineRule="auto" w:after="60"/>
        <w:jc w:val="left"/>
      </w:pPr>
      <w:r>
        <w:t xml:space="preserve">12 Arbeitnehmer (Stand 01.04.2026). Übersicht in </w:t>
      </w:r>
      <w:r>
        <w:t>xlsx/arbeitnehmer-uebernahmestatus.xlsx</w:t>
      </w:r>
      <w:r>
        <w:t>. Davon:</w:t>
      </w:r>
    </w:p>
    <w:p>
      <w:pPr>
        <w:pStyle w:val="ListBullet"/>
        <w:spacing w:line="259" w:lineRule="auto" w:after="60"/>
      </w:pPr>
      <w:r>
        <w:t>10 Übernahmen geplant (§ 613a BGB Bereitschaft des Käufers)</w:t>
      </w:r>
    </w:p>
    <w:p>
      <w:pPr>
        <w:pStyle w:val="ListBullet"/>
        <w:spacing w:line="259" w:lineRule="auto" w:after="60"/>
      </w:pPr>
      <w:r>
        <w:t>2 Nicht-Übernahmen (Position Vertriebsleitung dual besetzt — Voracis-eigene Vertriebsleitung; sowie eine Stelle „Office Manager", in Voracis nicht vorgesehen).</w:t>
      </w:r>
    </w:p>
    <w:p>
      <w:pPr>
        <w:spacing w:line="259" w:lineRule="auto" w:after="60"/>
        <w:jc w:val="left"/>
      </w:pPr>
      <w:r>
        <w:t xml:space="preserve">Sozialplan-Bedarf für die 2 Nicht-Übernommenen: prüfen, ob Schwellenwerte des § 17 KSchG (Massenentlassungsanzeige) erreicht sind — bei 12 AN-Gesamtbelegschaft Schwelle gemäß § 17 I 1 Nr. 1 KSchG nicht erreicht (mehr als 5 AN bei weniger als 20 AN). </w:t>
      </w:r>
      <w:r>
        <w:rPr>
          <w:b/>
        </w:rPr>
        <w:t>Anzeige nicht erforderlich</w:t>
      </w:r>
      <w:r>
        <w:t xml:space="preserve">, aber individuelle Abfindungsverhandlungen über Sozialplan-Komponente vorbereitet (siehe </w:t>
      </w:r>
      <w:r>
        <w:t>08_…</w:t>
      </w:r>
      <w:r>
        <w:t>).</w:t>
      </w:r>
    </w:p>
    <w:p>
      <w:pPr>
        <w:pStyle w:val="Heading2"/>
        <w:spacing w:line="259" w:lineRule="auto" w:after="60"/>
      </w:pPr>
      <w:r>
        <w:rPr>
          <w:rFonts w:ascii="Times New Roman" w:hAnsi="Times New Roman"/>
        </w:rPr>
        <w:t>5. Kundendaten — DSGVO-Risikobewertung</w:t>
      </w:r>
    </w:p>
    <w:p>
      <w:pPr>
        <w:spacing w:line="259" w:lineRule="auto" w:after="60"/>
        <w:jc w:val="left"/>
      </w:pPr>
      <w:r>
        <w:t xml:space="preserve">Dies ist der </w:t>
      </w:r>
      <w:r>
        <w:rPr>
          <w:b/>
        </w:rPr>
        <w:t>rechtlich heikelste Workstream</w:t>
      </w:r>
      <w:r>
        <w:t xml:space="preserve">. Detailanalyse in </w:t>
      </w:r>
      <w:r>
        <w:t>07_…</w:t>
      </w:r>
      <w:r>
        <w:t>. Zusammenfassung:</w:t>
      </w:r>
    </w:p>
    <w:p>
      <w:pPr>
        <w:pStyle w:val="ListBullet"/>
        <w:spacing w:line="259" w:lineRule="auto" w:after="60"/>
      </w:pPr>
      <w:r>
        <w:t>B2B-Kundendaten (12 juristische Personen): unproblematisch (keine personenbezogenen Daten i. S. d. Art. 4 Nr. 1 DSGVO, soweit nur Firmendaten; Ansprechpartner-Klardaten gelten nach EDSA-Stellungnahme als personenbezogen, aber unter Art. 6 I lit. f DSGVO durch berechtigtes Interesse gedeckt).</w:t>
      </w:r>
    </w:p>
    <w:p>
      <w:pPr>
        <w:pStyle w:val="ListBullet"/>
        <w:spacing w:line="259" w:lineRule="auto" w:after="60"/>
      </w:pPr>
      <w:r>
        <w:t>B2C-Kundendaten (acht natürliche Personen): Die Verträge sind zum 31.07.2026 gekündigt; Voracis bietet Neuverträge an. Nach dem DSK-Beschluss vom 11.09.2024 ist dies als Vertragsanbahnung zu behandeln. Die Schuldnerin versendet das Angebot selbst; Daten gehen nur nach positiver Rückmeldung des Kunden oder durch unmittelbare Erhebung bei Voracis über. Reine Aufbewahrungsdaten bleiben getrennt und werden gegebenenfalls nur im Rahmen einer Auftragsverarbeitung nach Artikel 28 Absatz 3 DSGVO gespeichert.</w:t>
      </w:r>
    </w:p>
    <w:p>
      <w:pPr>
        <w:pStyle w:val="Heading2"/>
        <w:spacing w:line="259" w:lineRule="auto" w:after="60"/>
      </w:pPr>
      <w:r>
        <w:rPr>
          <w:rFonts w:ascii="Times New Roman" w:hAnsi="Times New Roman"/>
        </w:rPr>
        <w:t>6. Steuerliche Würdigung (Geschäftsveräußerung im Ganzen — § 1 Ia UStG)</w:t>
      </w:r>
    </w:p>
    <w:p>
      <w:pPr>
        <w:spacing w:line="259" w:lineRule="auto" w:after="60"/>
        <w:jc w:val="left"/>
      </w:pPr>
      <w:r>
        <w:t xml:space="preserve">Da die übernommenen Assets einen lebensfähigen Betriebsteil ergeben (Software + Marken + AN + Kunden) — und der Käufer die Geschäftstätigkeit fortführen will (vgl. EuGH </w:t>
      </w:r>
      <w:r>
        <w:rPr>
          <w:b/>
        </w:rPr>
        <w:t>C-497/01 Zita Modes</w:t>
      </w:r>
      <w:r>
        <w:t xml:space="preserve"> und </w:t>
      </w:r>
      <w:r>
        <w:rPr>
          <w:b/>
        </w:rPr>
        <w:t>C-444/10 Schriever</w:t>
      </w:r>
      <w:r>
        <w:t xml:space="preserve">, Übernommen in </w:t>
      </w:r>
      <w:r>
        <w:rPr>
          <w:b/>
        </w:rPr>
        <w:t>BFH V R 11/13</w:t>
      </w:r>
      <w:r>
        <w:t xml:space="preserve"> v. 18.01.2017) — wird die Veräußerung als </w:t>
      </w:r>
      <w:r>
        <w:rPr>
          <w:b/>
        </w:rPr>
        <w:t>Geschäftsveräußerung im Ganzen</w:t>
      </w:r>
      <w:r>
        <w:t xml:space="preserve"> behandelt. Folge: </w:t>
      </w:r>
      <w:r>
        <w:rPr>
          <w:b/>
        </w:rPr>
        <w:t>kein Umsatzsteuerausweis</w:t>
      </w:r>
      <w:r>
        <w:t xml:space="preserve"> (§ 1 Ia UStG; § 15a UStG-Vorsteuerkorrektur greift, ist aber durch Übernahme der Berichtigungspflicht durch den Käufer gedeckt).</w:t>
      </w:r>
    </w:p>
    <w:p>
      <w:pPr>
        <w:spacing w:line="259" w:lineRule="auto" w:after="60"/>
        <w:jc w:val="left"/>
      </w:pPr>
      <w:r>
        <w:t>Steuerliche Stellungnahme: Steuerberater Walther Inkermann (WP Quintbeck, Berlin) hat seine Stellungnahme zum Geschäftsbetriebsübergang und zur Umsatzsteuerbehandlung im Datenraum abgelegt; die Kernaussagen sind in diesem Bericht eingearbeitet.</w:t>
      </w:r>
    </w:p>
    <w:p>
      <w:pPr>
        <w:pStyle w:val="Heading2"/>
        <w:spacing w:line="259" w:lineRule="auto" w:after="60"/>
      </w:pPr>
      <w:r>
        <w:rPr>
          <w:rFonts w:ascii="Times New Roman" w:hAnsi="Times New Roman"/>
        </w:rPr>
        <w:t>7. Risiken / Red Flags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Risiko</w:t>
            </w:r>
          </w:p>
        </w:tc>
        <w:tc>
          <w:tcPr>
            <w:tcW w:type="dxa" w:w="2268"/>
          </w:tcPr>
          <w:p>
            <w:r>
              <w:rPr>
                <w:rFonts w:ascii="Times New Roman" w:hAnsi="Times New Roman"/>
                <w:b/>
                <w:sz w:val="20"/>
              </w:rPr>
              <w:t>Wahrscheinlichkeit</w:t>
            </w:r>
          </w:p>
        </w:tc>
        <w:tc>
          <w:tcPr>
            <w:tcW w:type="dxa" w:w="2268"/>
          </w:tcPr>
          <w:p>
            <w:r>
              <w:rPr>
                <w:rFonts w:ascii="Times New Roman" w:hAnsi="Times New Roman"/>
                <w:b/>
                <w:sz w:val="20"/>
              </w:rPr>
              <w:t>Wirkung</w:t>
            </w:r>
          </w:p>
        </w:tc>
        <w:tc>
          <w:tcPr>
            <w:tcW w:type="dxa" w:w="2268"/>
          </w:tcPr>
          <w:p>
            <w:r>
              <w:rPr>
                <w:rFonts w:ascii="Times New Roman" w:hAnsi="Times New Roman"/>
                <w:b/>
                <w:sz w:val="20"/>
              </w:rPr>
              <w:t>Maßnahme</w:t>
            </w:r>
          </w:p>
        </w:tc>
      </w:tr>
      <w:tr>
        <w:tc>
          <w:tcPr>
            <w:tcW w:type="dxa" w:w="2268"/>
          </w:tcPr>
          <w:p>
            <w:r>
              <w:rPr>
                <w:rFonts w:ascii="Times New Roman" w:hAnsi="Times New Roman"/>
                <w:sz w:val="20"/>
              </w:rPr>
              <w:t>DSGVO-Übertragung B2C-Daten greift nicht</w:t>
            </w:r>
          </w:p>
        </w:tc>
        <w:tc>
          <w:tcPr>
            <w:tcW w:type="dxa" w:w="2268"/>
          </w:tcPr>
          <w:p>
            <w:r>
              <w:rPr>
                <w:rFonts w:ascii="Times New Roman" w:hAnsi="Times New Roman"/>
                <w:sz w:val="20"/>
              </w:rPr>
              <w:t>mittel</w:t>
            </w:r>
          </w:p>
        </w:tc>
        <w:tc>
          <w:tcPr>
            <w:tcW w:type="dxa" w:w="2268"/>
          </w:tcPr>
          <w:p>
            <w:r>
              <w:t>Unzulässiger Transfer, Unterlassungs- und Bußgeldrisiko</w:t>
            </w:r>
          </w:p>
        </w:tc>
        <w:tc>
          <w:tcPr>
            <w:tcW w:type="dxa" w:w="2268"/>
          </w:tcPr>
          <w:p>
            <w:r>
              <w:t>DSK-Beschluss 11.09.2024 anwenden; B2C-Opt-in beziehungsweise direkte Datenerhebung, Altdaten technisch trennen</w:t>
            </w:r>
          </w:p>
        </w:tc>
      </w:tr>
      <w:tr>
        <w:tc>
          <w:tcPr>
            <w:tcW w:type="dxa" w:w="2268"/>
          </w:tcPr>
          <w:p>
            <w:r>
              <w:rPr>
                <w:rFonts w:ascii="Times New Roman" w:hAnsi="Times New Roman"/>
                <w:sz w:val="20"/>
              </w:rPr>
              <w:t>Mitarbeiterwiderspruch § 613a VI BGB</w:t>
            </w:r>
          </w:p>
        </w:tc>
        <w:tc>
          <w:tcPr>
            <w:tcW w:type="dxa" w:w="2268"/>
          </w:tcPr>
          <w:p>
            <w:r>
              <w:rPr>
                <w:rFonts w:ascii="Times New Roman" w:hAnsi="Times New Roman"/>
                <w:sz w:val="20"/>
              </w:rPr>
              <w:t>gering</w:t>
            </w:r>
          </w:p>
        </w:tc>
        <w:tc>
          <w:tcPr>
            <w:tcW w:type="dxa" w:w="2268"/>
          </w:tcPr>
          <w:p>
            <w:r>
              <w:rPr>
                <w:rFonts w:ascii="Times New Roman" w:hAnsi="Times New Roman"/>
                <w:sz w:val="20"/>
              </w:rPr>
              <w:t>Verlust einzelner Schlüsselkräfte</w:t>
            </w:r>
          </w:p>
        </w:tc>
        <w:tc>
          <w:tcPr>
            <w:tcW w:type="dxa" w:w="2268"/>
          </w:tcPr>
          <w:p>
            <w:r>
              <w:rPr>
                <w:rFonts w:ascii="Times New Roman" w:hAnsi="Times New Roman"/>
                <w:sz w:val="20"/>
              </w:rPr>
              <w:t xml:space="preserve">Vorabklärung mit AN; siehe </w:t>
            </w:r>
            <w:r>
              <w:rPr>
                <w:rFonts w:ascii="Times New Roman" w:hAnsi="Times New Roman"/>
                <w:sz w:val="20"/>
              </w:rPr>
              <w:t>08_…</w:t>
            </w:r>
          </w:p>
        </w:tc>
      </w:tr>
      <w:tr>
        <w:tc>
          <w:tcPr>
            <w:tcW w:type="dxa" w:w="2268"/>
          </w:tcPr>
          <w:p>
            <w:r>
              <w:rPr>
                <w:rFonts w:ascii="Times New Roman" w:hAnsi="Times New Roman"/>
                <w:sz w:val="20"/>
              </w:rPr>
              <w:t>Markenrecht-Streit Wettbewerber „ChainSight Forensics" Hamburg</w:t>
            </w:r>
          </w:p>
        </w:tc>
        <w:tc>
          <w:tcPr>
            <w:tcW w:type="dxa" w:w="2268"/>
          </w:tcPr>
          <w:p>
            <w:r>
              <w:rPr>
                <w:rFonts w:ascii="Times New Roman" w:hAnsi="Times New Roman"/>
                <w:sz w:val="20"/>
              </w:rPr>
              <w:t>gering</w:t>
            </w:r>
          </w:p>
        </w:tc>
        <w:tc>
          <w:tcPr>
            <w:tcW w:type="dxa" w:w="2268"/>
          </w:tcPr>
          <w:p>
            <w:r>
              <w:rPr>
                <w:rFonts w:ascii="Times New Roman" w:hAnsi="Times New Roman"/>
                <w:sz w:val="20"/>
              </w:rPr>
              <w:t>Verwechslungsfähigkeit Frage</w:t>
            </w:r>
          </w:p>
        </w:tc>
        <w:tc>
          <w:tcPr>
            <w:tcW w:type="dxa" w:w="2268"/>
          </w:tcPr>
          <w:p>
            <w:r>
              <w:rPr>
                <w:rFonts w:ascii="Times New Roman" w:hAnsi="Times New Roman"/>
                <w:sz w:val="20"/>
              </w:rPr>
              <w:t>DPMA-Auskunft eingeholt 02.06.2026: keine Identitäts- oder Verwechslungsfälle anhängig</w:t>
            </w:r>
          </w:p>
        </w:tc>
      </w:tr>
      <w:tr>
        <w:tc>
          <w:tcPr>
            <w:tcW w:type="dxa" w:w="2268"/>
          </w:tcPr>
          <w:p>
            <w:r>
              <w:rPr>
                <w:rFonts w:ascii="Times New Roman" w:hAnsi="Times New Roman"/>
                <w:sz w:val="20"/>
              </w:rPr>
              <w:t>GoDaddy/Cloud-Account-Transfer Bottleneck</w:t>
            </w:r>
          </w:p>
        </w:tc>
        <w:tc>
          <w:tcPr>
            <w:tcW w:type="dxa" w:w="2268"/>
          </w:tcPr>
          <w:p>
            <w:r>
              <w:rPr>
                <w:rFonts w:ascii="Times New Roman" w:hAnsi="Times New Roman"/>
                <w:sz w:val="20"/>
              </w:rPr>
              <w:t>mittel</w:t>
            </w:r>
          </w:p>
        </w:tc>
        <w:tc>
          <w:tcPr>
            <w:tcW w:type="dxa" w:w="2268"/>
          </w:tcPr>
          <w:p>
            <w:r>
              <w:rPr>
                <w:rFonts w:ascii="Times New Roman" w:hAnsi="Times New Roman"/>
                <w:sz w:val="20"/>
              </w:rPr>
              <w:t>technischer Übergabeengpass</w:t>
            </w:r>
          </w:p>
        </w:tc>
        <w:tc>
          <w:tcPr>
            <w:tcW w:type="dxa" w:w="2268"/>
          </w:tcPr>
          <w:p>
            <w:r>
              <w:rPr>
                <w:rFonts w:ascii="Times New Roman" w:hAnsi="Times New Roman"/>
                <w:sz w:val="20"/>
              </w:rPr>
              <w:t>Closing-Checkliste 10_…</w:t>
            </w:r>
          </w:p>
        </w:tc>
      </w:tr>
      <w:tr>
        <w:tc>
          <w:tcPr>
            <w:tcW w:type="dxa" w:w="2268"/>
          </w:tcPr>
          <w:p>
            <w:r>
              <w:rPr>
                <w:rFonts w:ascii="Times New Roman" w:hAnsi="Times New Roman"/>
                <w:sz w:val="20"/>
              </w:rPr>
              <w:t>Rest-Gläubiger versuchen Anfechtung Vertrags-Beendigung Asset-Deal-konstruktion (§ 132 InsO)</w:t>
            </w:r>
          </w:p>
        </w:tc>
        <w:tc>
          <w:tcPr>
            <w:tcW w:type="dxa" w:w="2268"/>
          </w:tcPr>
          <w:p>
            <w:r>
              <w:rPr>
                <w:rFonts w:ascii="Times New Roman" w:hAnsi="Times New Roman"/>
                <w:sz w:val="20"/>
              </w:rPr>
              <w:t>sehr gering</w:t>
            </w:r>
          </w:p>
        </w:tc>
        <w:tc>
          <w:tcPr>
            <w:tcW w:type="dxa" w:w="2268"/>
          </w:tcPr>
          <w:p>
            <w:r>
              <w:rPr>
                <w:rFonts w:ascii="Times New Roman" w:hAnsi="Times New Roman"/>
                <w:sz w:val="20"/>
              </w:rPr>
              <w:t>Mass-anrechnung Rückabwicklung</w:t>
            </w:r>
          </w:p>
        </w:tc>
        <w:tc>
          <w:tcPr>
            <w:tcW w:type="dxa" w:w="2268"/>
          </w:tcPr>
          <w:p>
            <w:r>
              <w:rPr>
                <w:rFonts w:ascii="Times New Roman" w:hAnsi="Times New Roman"/>
                <w:sz w:val="20"/>
              </w:rPr>
              <w:t>§ 132 InsO greift nicht (Verfahrenseröffnung 01.04.2026, Vertragsabschluss nach Eröffnung — keine vorinsolvenzliche Rechtshandlung)</w:t>
            </w:r>
          </w:p>
        </w:tc>
      </w:tr>
      <w:tr>
        <w:tc>
          <w:tcPr>
            <w:tcW w:type="dxa" w:w="2268"/>
          </w:tcPr>
          <w:p>
            <w:r>
              <w:rPr>
                <w:rFonts w:ascii="Times New Roman" w:hAnsi="Times New Roman"/>
                <w:sz w:val="20"/>
              </w:rPr>
              <w:t>Käufer-Finanzierung fällt aus</w:t>
            </w:r>
          </w:p>
        </w:tc>
        <w:tc>
          <w:tcPr>
            <w:tcW w:type="dxa" w:w="2268"/>
          </w:tcPr>
          <w:p>
            <w:r>
              <w:rPr>
                <w:rFonts w:ascii="Times New Roman" w:hAnsi="Times New Roman"/>
                <w:sz w:val="20"/>
              </w:rPr>
              <w:t>gering</w:t>
            </w:r>
          </w:p>
        </w:tc>
        <w:tc>
          <w:tcPr>
            <w:tcW w:type="dxa" w:w="2268"/>
          </w:tcPr>
          <w:p>
            <w:r>
              <w:rPr>
                <w:rFonts w:ascii="Times New Roman" w:hAnsi="Times New Roman"/>
                <w:sz w:val="20"/>
              </w:rPr>
              <w:t>Closing platzt</w:t>
            </w:r>
          </w:p>
        </w:tc>
        <w:tc>
          <w:tcPr>
            <w:tcW w:type="dxa" w:w="2268"/>
          </w:tcPr>
          <w:p>
            <w:r>
              <w:rPr>
                <w:rFonts w:ascii="Times New Roman" w:hAnsi="Times New Roman"/>
                <w:sz w:val="20"/>
              </w:rPr>
              <w:t>Equity-Letter 4.5 Mio. EUR Genmar Holding GmbH; Eskrow vereinbart</w:t>
            </w:r>
          </w:p>
        </w:tc>
      </w:tr>
    </w:tbl>
    <w:p>
      <w:pPr>
        <w:pStyle w:val="Heading2"/>
        <w:spacing w:line="259" w:lineRule="auto" w:after="60"/>
      </w:pPr>
      <w:r>
        <w:rPr>
          <w:rFonts w:ascii="Times New Roman" w:hAnsi="Times New Roman"/>
        </w:rPr>
        <w:t>8. Empfehlung Verwalter</w:t>
      </w:r>
    </w:p>
    <w:p>
      <w:pPr>
        <w:spacing w:line="259" w:lineRule="auto" w:after="60"/>
        <w:jc w:val="left"/>
      </w:pPr>
      <w:r>
        <w:t>Der Asset Deal mit Voracis Ventures GmbH zu einem Kaufpreis von [400.000,00 EUR] ist gegenüber den Alternativen (Stilllegung, Einzelverwertung, Verkauf an Pebbo Code Holding ohne AN-Übernahme) wirtschaftlich überlegen und entspricht dem höchstmöglichen Verwertungsergebnis im Sinne von § 159 InsO. Der Verwalter empfiehlt dem Gläubigerausschuss, der Veräußerung gemäß § 160 II Nr. 1 InsO zuzustimmen.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