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60" w:line="259" w:lineRule="auto"/>
      </w:pPr>
      <w:r>
        <w:rPr>
          <w:rFonts w:ascii="Times New Roman" w:hAnsi="Times New Roman"/>
          <w:b/>
          <w:sz w:val="28"/>
        </w:rPr>
        <w:t>07 — Kundendaten — DSGVO-Risikoanalyse (B2B vs. B2C)</w:t>
      </w:r>
    </w:p>
    <w:p>
      <w:pPr>
        <w:spacing w:line="259" w:lineRule="auto" w:after="60"/>
        <w:ind w:left="567"/>
      </w:pPr>
      <w:r>
        <w:rPr>
          <w:i/>
        </w:rPr>
        <w:t>Auftrag: Prüfung, unter welchen Voraussetzungen die Kundendaten der Schuldnerin im Asset Deal an die Voracis Ventures GmbH übertragen werden dürfen. Ergebnisrelevant für APA-§ 2 (Kaufgegenstände) und das Anschreiben Privatkunden. Verfasst durch RAin Beate Lottberg, gegengeprüft durch externen Datenschutzbeauftragten Dr. Heiko Manderscheid (Voracis-Seite), Datum 14.06.2026.</w:t>
      </w:r>
    </w:p>
    <w:p>
      <w:pPr>
        <w:pStyle w:val="Heading2"/>
        <w:spacing w:before="120" w:after="60" w:line="259" w:lineRule="auto"/>
      </w:pPr>
      <w:r>
        <w:rPr>
          <w:rFonts w:ascii="Times New Roman" w:hAnsi="Times New Roman"/>
          <w:b/>
          <w:sz w:val="22"/>
        </w:rPr>
        <w:t>1. Sachverhalt der Kundendaten</w:t>
      </w:r>
    </w:p>
    <w:p>
      <w:pPr>
        <w:spacing w:line="259" w:lineRule="auto" w:after="60"/>
        <w:jc w:val="left"/>
      </w:pPr>
      <w:r>
        <w:t>Die Schuldnerin betrieb das SaaS-Produkt „ChainCortex Compliance Engine" mit zwei klar abgrenzbaren Kundenklassen:</w:t>
      </w:r>
    </w:p>
    <w:p>
      <w:pPr>
        <w:pStyle w:val="ListBullet"/>
        <w:spacing w:line="259" w:lineRule="auto" w:after="60"/>
      </w:pPr>
      <w:r>
        <w:rPr>
          <w:b/>
        </w:rPr>
        <w:t>Business-Tarif</w:t>
      </w:r>
      <w:r>
        <w:t xml:space="preserve"> (12 Verträge): juristische Personen — siehe </w:t>
      </w:r>
      <w:r>
        <w:t>xlsx/kundendaten-business.xlsx</w:t>
      </w:r>
      <w:r>
        <w:t>. Datenfelder: Firmenname, Anschrift, Branche, Ansprechpartner (Vor-/Nachname, dienstliche E-Mail, Funktion), Vertragsdaten.</w:t>
      </w:r>
    </w:p>
    <w:p>
      <w:pPr>
        <w:pStyle w:val="ListBullet"/>
        <w:spacing w:line="259" w:lineRule="auto" w:after="60"/>
      </w:pPr>
      <w:r>
        <w:rPr>
          <w:b/>
        </w:rPr>
        <w:t>Privat-/Freemium-Tarif</w:t>
      </w:r>
      <w:r>
        <w:t xml:space="preserve"> (8 Verträge): natürliche Personen — siehe </w:t>
      </w:r>
      <w:r>
        <w:t>xlsx/kundendaten-privat.xlsx</w:t>
      </w:r>
      <w:r>
        <w:t>. Datenfelder: Klar-Vor- und -Nachname, private E-Mail, Anschrift (privat), Geburtsjahr (für KYC light), Sprachpräferenz, Vertragsdaten.</w:t>
      </w:r>
    </w:p>
    <w:p>
      <w:pPr>
        <w:pStyle w:val="Heading2"/>
        <w:spacing w:before="120" w:after="60" w:line="259" w:lineRule="auto"/>
      </w:pPr>
      <w:r>
        <w:rPr>
          <w:rFonts w:ascii="Times New Roman" w:hAnsi="Times New Roman"/>
          <w:b/>
          <w:sz w:val="22"/>
        </w:rPr>
        <w:t>2. Maßgebliche Rechtsgrundlagen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Norm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Inhalt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Anwendbar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Art. 4 Nr. 1 DSGVO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Personenbezogene Daten</w:t>
            </w:r>
          </w:p>
        </w:tc>
        <w:tc>
          <w:tcPr>
            <w:tcW w:type="dxa" w:w="3024"/>
          </w:tcPr>
          <w:p>
            <w:r>
              <w:t>B2B-Firmendaten nicht; Daten natürlicher Ansprechpartner vollständig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Art. 4 Nr. 2 DSGVO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„Verarbeitung" — auch Übermittlung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ja, der Asset Deal ist eine Übermittlung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Art. 4 Nr. 9 DSGVO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„Empfänger"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Voracis ist Empfänger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Art. 6 I lit. f DSGVO</w:t>
            </w:r>
          </w:p>
        </w:tc>
        <w:tc>
          <w:tcPr>
            <w:tcW w:type="dxa" w:w="3024"/>
          </w:tcPr>
          <w:p>
            <w:r>
              <w:t>berechtigtes Interesse als mögliche Rechtsgrundlage</w:t>
            </w:r>
          </w:p>
        </w:tc>
        <w:tc>
          <w:tcPr>
            <w:tcW w:type="dxa" w:w="3024"/>
          </w:tcPr>
          <w:p>
            <w:r>
              <w:t>nur nach Erforderlichkeit, Datenminimierung und Interessenabwägung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Art. 13/14 DSGVO</w:t>
            </w:r>
          </w:p>
        </w:tc>
        <w:tc>
          <w:tcPr>
            <w:tcW w:type="dxa" w:w="3024"/>
          </w:tcPr>
          <w:p>
            <w:r>
              <w:t>Informationspflichten</w:t>
            </w:r>
          </w:p>
        </w:tc>
        <w:tc>
          <w:tcPr>
            <w:tcW w:type="dxa" w:w="3024"/>
          </w:tcPr>
          <w:p>
            <w:r>
              <w:t>Artikel 14 bei Erhebung nicht beim Betroffenen; Frist nach Absatz 3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Art. 28 DSGVO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Auftragsverarbeitung</w:t>
            </w:r>
          </w:p>
        </w:tc>
        <w:tc>
          <w:tcPr>
            <w:tcW w:type="dxa" w:w="3024"/>
          </w:tcPr>
          <w:p>
            <w:r>
              <w:t>für aktive Daten nicht pauschal; bei reinen Aufbewahrungsdaten möglich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§ 26 BDSG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Beschäftigtendaten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 xml:space="preserve">für AN-Daten relevant — separat in </w:t>
            </w:r>
            <w:r>
              <w:rPr>
                <w:rFonts w:ascii="Times New Roman" w:hAnsi="Times New Roman"/>
                <w:sz w:val="20"/>
              </w:rPr>
              <w:t>08_…</w:t>
            </w:r>
          </w:p>
        </w:tc>
      </w:tr>
      <w:tr>
        <w:tc>
          <w:tcPr>
            <w:tcW w:type="dxa" w:w="3024"/>
          </w:tcPr>
          <w:p>
            <w:r>
              <w:t>Paragraf 25 TDDDG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Cookies/Endeinrichtungs-Zugriff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nicht direkt relevant</w:t>
            </w:r>
          </w:p>
        </w:tc>
      </w:tr>
    </w:tbl>
    <w:p>
      <w:pPr>
        <w:pStyle w:val="Heading2"/>
        <w:spacing w:before="120" w:after="60" w:line="259" w:lineRule="auto"/>
      </w:pPr>
      <w:r>
        <w:t>3. Rechtsprechung und Aufsichtsleitlinie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Entscheidung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Inhalt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Bewertung für Asset Deal</w:t>
            </w:r>
          </w:p>
        </w:tc>
      </w:tr>
      <w:tr>
        <w:tc>
          <w:tcPr>
            <w:tcW w:type="dxa" w:w="3024"/>
          </w:tcPr>
          <w:p>
            <w:r>
              <w:t>DSK, Beschluss vom 11.09.2024 zu Asset Deals</w:t>
            </w:r>
          </w:p>
        </w:tc>
        <w:tc>
          <w:tcPr>
            <w:tcW w:type="dxa" w:w="3024"/>
          </w:tcPr>
          <w:p>
            <w:r>
              <w:t>Trennt Due Diligence, Vertragsanbahnung, laufende Verträge, Erfüllungsübernahme, Altdaten, Werbung, Bankdaten und Beschäftigtendaten.</w:t>
            </w:r>
          </w:p>
        </w:tc>
        <w:tc>
          <w:tcPr>
            <w:tcW w:type="dxa" w:w="3024"/>
          </w:tcPr>
          <w:p>
            <w:r>
              <w:t>Direkte Aufsichtsleitlinie für die Datenklassifizierung dieser Transaktion</w:t>
            </w:r>
          </w:p>
        </w:tc>
      </w:tr>
      <w:tr>
        <w:tc>
          <w:tcPr>
            <w:tcW w:type="dxa" w:w="3024"/>
          </w:tcPr>
          <w:p>
            <w:r>
              <w:t>EuGH, Urteil vom 04.10.2024 - C-621/22 (KNLTB)</w:t>
            </w:r>
          </w:p>
        </w:tc>
        <w:tc>
          <w:tcPr>
            <w:tcW w:type="dxa" w:w="3024"/>
          </w:tcPr>
          <w:p>
            <w:r>
              <w:t>Ein rechtmäßiges kommerzielles Interesse kann grundsätzlich berechtigt sein; Erforderlichkeit, Datenminimierung und Interessenabwägung bleiben kumulativ.</w:t>
            </w:r>
          </w:p>
        </w:tc>
        <w:tc>
          <w:tcPr>
            <w:tcW w:type="dxa" w:w="3024"/>
          </w:tcPr>
          <w:p>
            <w:r>
              <w:t>Methodischer Anker für Artikel 6 Absatz 1 Buchstabe f, keine Asset-Deal-Entscheidung</w:t>
            </w:r>
          </w:p>
        </w:tc>
      </w:tr>
    </w:tbl>
    <w:p>
      <w:pPr>
        <w:pStyle w:val="Heading2"/>
        <w:spacing w:line="259" w:lineRule="auto" w:after="60"/>
      </w:pPr>
      <w:r>
        <w:rPr>
          <w:rFonts w:ascii="Times New Roman" w:hAnsi="Times New Roman"/>
        </w:rPr>
        <w:t>4. B2B — Bewertung</w:t>
      </w:r>
    </w:p>
    <w:p>
      <w:pPr>
        <w:spacing w:line="259" w:lineRule="auto" w:after="60"/>
        <w:jc w:val="left"/>
      </w:pPr>
      <w:r>
        <w:t xml:space="preserve">Reine Firmendaten (juristische Personen, Firmenname, Anschrift) sind </w:t>
      </w:r>
      <w:r>
        <w:rPr>
          <w:b/>
        </w:rPr>
        <w:t>keine personenbezogenen Daten</w:t>
      </w:r>
      <w:r>
        <w:t xml:space="preserve"> i. S. d. Art. 4 Nr. 1 DSGVO. Die dazu erfassten Ansprechpartner-Daten (Vor-/Nachname, dienstliche E-Mail, Funktion) sind jedoch </w:t>
      </w:r>
      <w:r>
        <w:rPr>
          <w:b/>
        </w:rPr>
        <w:t>personenbezogen</w:t>
      </w:r>
      <w:r>
        <w:t>. Dafür gilt:</w:t>
      </w:r>
    </w:p>
    <w:p>
      <w:pPr>
        <w:pStyle w:val="ListBullet"/>
        <w:spacing w:line="259" w:lineRule="auto" w:after="60"/>
      </w:pPr>
      <w:r>
        <w:t>Rechtsgrundlage: Artikel 6 Absatz 1 Buchstabe f DSGVO nach dokumentierter Erforderlichkeits- und Interessenabwägung.</w:t>
      </w:r>
    </w:p>
    <w:p>
      <w:pPr>
        <w:pStyle w:val="ListBullet"/>
        <w:spacing w:line="259" w:lineRule="auto" w:after="60"/>
      </w:pPr>
      <w:r>
        <w:t>Interessenabwägung: Die Fortführung der Geschäftsbeziehung kann ein berechtigtes Interesse tragen. Auch dienstliche Kontaktdaten bleiben personenbezogen; Datenumfang, Erwartbarkeit und alternative Kontaktwege sind konkret zu prüfen.</w:t>
      </w:r>
    </w:p>
    <w:p>
      <w:pPr>
        <w:pStyle w:val="ListBullet"/>
        <w:spacing w:line="259" w:lineRule="auto" w:after="60"/>
      </w:pPr>
      <w:r>
        <w:t>Information nach Artikel 14 DSGVO: spätestens innerhalb eines Monats nach Erlangung der Daten, bei früherer Kontaktaufnahme spätestens dann.</w:t>
      </w:r>
    </w:p>
    <w:p>
      <w:pPr>
        <w:pStyle w:val="ListBullet"/>
        <w:spacing w:line="259" w:lineRule="auto" w:after="60"/>
      </w:pPr>
      <w:r>
        <w:t>Widerspruch: Das Recht aus Artikel 21 DSGVO und seine Voraussetzungen mitteilen; ein Widerspruch ist einzelfallbezogen zu bearbeiten.</w:t>
      </w:r>
    </w:p>
    <w:p>
      <w:pPr>
        <w:spacing w:line="259" w:lineRule="auto" w:after="60"/>
        <w:jc w:val="left"/>
      </w:pPr>
      <w:r>
        <w:t>Ergebnis B2B: Ansprechpartnerdaten nur zweckgebunden und auf das für die Geschäftsfortführung Erforderliche übertragen; Artikel-14-Information terminieren und die Abwägung dokumentieren.</w:t>
      </w:r>
    </w:p>
    <w:p>
      <w:pPr>
        <w:pStyle w:val="Heading2"/>
        <w:spacing w:line="259" w:lineRule="auto" w:after="60"/>
      </w:pPr>
      <w:r>
        <w:rPr>
          <w:rFonts w:ascii="Times New Roman" w:hAnsi="Times New Roman"/>
        </w:rPr>
        <w:t>5. B2C — Bewertung</w:t>
      </w:r>
    </w:p>
    <w:p>
      <w:pPr>
        <w:spacing w:line="259" w:lineRule="auto" w:after="60"/>
        <w:jc w:val="left"/>
      </w:pPr>
      <w:r>
        <w:t>Die acht Privatkundenverträge sind von der Schuldnerin zum 31.07.2026 gekündigt; Voracis will Neuverträge anbieten. Damit liegt keine automatische Vertragsübernahme vor. Die Ansprache und jede Datenweitergabe sind als Vertragsanbahnung zu behandeln.</w:t>
      </w:r>
    </w:p>
    <w:p>
      <w:pPr>
        <w:pStyle w:val="Heading3"/>
        <w:spacing w:line="259" w:lineRule="auto" w:after="60"/>
      </w:pPr>
      <w:r>
        <w:t>5.1 Neuvertragsangebot und Rechtsgrundlage</w:t>
      </w:r>
    </w:p>
    <w:p>
      <w:pPr>
        <w:spacing w:line="259" w:lineRule="auto" w:after="60"/>
        <w:jc w:val="left"/>
      </w:pPr>
      <w:r>
        <w:t>Vorzugsroute für die acht Betroffenen:</w:t>
      </w:r>
    </w:p>
    <w:p>
      <w:pPr>
        <w:pStyle w:val="ListBullet"/>
        <w:spacing w:line="259" w:lineRule="auto" w:after="60"/>
      </w:pPr>
      <w:r>
        <w:t>Die Schuldnerin versendet das Neuvertragsangebot selbst. Nimmt ein Kunde unmittelbar Kontakt mit Voracis auf, darf Voracis die von ihm erhaltenen Daten nach Artikel 6 Absatz 1 Buchstabe b DSGVO für Vertragsanbahnung und Vertragserfüllung verarbeiten.</w:t>
      </w:r>
    </w:p>
    <w:p>
      <w:pPr>
        <w:pStyle w:val="ListBullet"/>
        <w:spacing w:line="259" w:lineRule="auto" w:after="60"/>
      </w:pPr>
      <w:r>
        <w:t>Alternativ kann der Kunde die Schuldnerin ausdrücklich ermächtigen, die bezeichneten Stammdaten für das Neuvertragsangebot zu übermitteln. Ohne positive Rückmeldung wird der B2C-Datensatz nicht zu eigenen Zwecken an Voracis weitergegeben. Eine bloße 30-Tage-Opt-out-Lösung ist angesichts der kurzen Transaktionsfrist nicht belastbar.</w:t>
      </w:r>
    </w:p>
    <w:p>
      <w:pPr>
        <w:pStyle w:val="ListBullet"/>
        <w:spacing w:line="259" w:lineRule="auto" w:after="60"/>
      </w:pPr>
      <w:r>
        <w:t>Altdaten aus dem beendeten Vertrag bleiben getrennt. Soweit Voracis sie nur für gesetzliche Aufbewahrungszwecke speichert, ist nach dem DSK-Beschluss vom 11. September 2024 ein Vertrag nach Artikel 28 Absatz 3 DSGVO mit strikter Zweckbindung und technischer Trennung vorzusehen.</w:t>
      </w:r>
    </w:p>
    <w:p>
      <w:pPr>
        <w:pStyle w:val="ListBullet"/>
        <w:spacing w:line="259" w:lineRule="auto" w:after="60"/>
      </w:pPr>
      <w:r>
        <w:t>EuGH C-621/22 bestätigt lediglich, dass ein rechtmäßiges kommerzielles Interesse grundsätzlich möglich sein kann. Die Entscheidung betrifft keinen Asset Deal und ersetzt weder die fallbezogene Erforderlichkeits- noch die Interessenabwägung.</w:t>
      </w:r>
    </w:p>
    <w:p>
      <w:pPr>
        <w:pStyle w:val="Heading3"/>
        <w:spacing w:line="259" w:lineRule="auto" w:after="60"/>
      </w:pPr>
      <w:r>
        <w:t>5.2 Information und Widerspruch</w:t>
      </w:r>
    </w:p>
    <w:p>
      <w:pPr>
        <w:spacing w:line="259" w:lineRule="auto" w:after="60"/>
        <w:jc w:val="left"/>
      </w:pPr>
      <w:r>
        <w:t>Erhebt Voracis die Daten unmittelbar beim Kunden, gilt Artikel 13 DSGVO. Werden Daten nach dokumentierter Ermächtigung durch die Schuldnerin übermittelt, gilt Artikel 14 DSGVO; die Information erfolgt spätestens bei der ersten Kommunikation, jedenfalls innerhalb eines Monats. Sie enthält:</w:t>
      </w:r>
    </w:p>
    <w:p>
      <w:pPr>
        <w:pStyle w:val="ListNumber"/>
        <w:spacing w:line="259" w:lineRule="auto" w:after="60"/>
      </w:pPr>
      <w:r>
        <w:t>Identität und Kontaktdaten des neuen Verantwortlichen sowie den Kontakt des Datenschutzbeauftragten.</w:t>
      </w:r>
    </w:p>
    <w:p>
      <w:pPr>
        <w:pStyle w:val="ListNumber"/>
        <w:spacing w:line="259" w:lineRule="auto" w:after="60"/>
      </w:pPr>
      <w:r>
        <w:t>Kategorien, Quelle, Zweck und konkrete Rechtsgrundlage der betroffenen Daten.</w:t>
      </w:r>
    </w:p>
    <w:p>
      <w:pPr>
        <w:pStyle w:val="ListNumber"/>
        <w:spacing w:line="259" w:lineRule="auto" w:after="60"/>
      </w:pPr>
      <w:r>
        <w:t>Berechtigtes Interesse und Kerngedanken der Interessenabwägung, soweit Artikel 6 Absatz 1 Buchstabe f DSGVO verwendet wird.</w:t>
      </w:r>
    </w:p>
    <w:p>
      <w:pPr>
        <w:pStyle w:val="ListNumber"/>
        <w:spacing w:line="259" w:lineRule="auto" w:after="60"/>
      </w:pPr>
      <w:r>
        <w:t>Empfänger oder Empfängerkategorien sowie gegebenenfalls Drittlandübermittlungen.</w:t>
      </w:r>
    </w:p>
    <w:p>
      <w:pPr>
        <w:pStyle w:val="ListNumber"/>
        <w:spacing w:line="259" w:lineRule="auto" w:after="60"/>
      </w:pPr>
      <w:r>
        <w:t>Speicherdauer oder nachvollziehbare Kriterien ihrer Bestimmung.</w:t>
      </w:r>
    </w:p>
    <w:p>
      <w:pPr>
        <w:pStyle w:val="ListNumber"/>
        <w:spacing w:line="259" w:lineRule="auto" w:after="60"/>
      </w:pPr>
      <w:r>
        <w:t>Rechte auf Auskunft, Berichtigung, Löschung, Einschränkung, Datenübertragbarkeit, Widerspruch und Beschwerde bei der Aufsichtsbehörde.</w:t>
      </w:r>
    </w:p>
    <w:p>
      <w:pPr>
        <w:spacing w:line="259" w:lineRule="auto" w:after="60"/>
      </w:pPr>
      <w:r>
        <w:t>Widerspruchshinweis: Artikel 21 DSGVO begründet keine gesetzliche 30-Tage-Sperrfrist vor jeder Datenübermittlung. Das Widerspruchsrecht ist von der positiven Entscheidung des Kunden über den Neuvertrag und eine Datenweitergabe zu unterscheiden.</w:t>
      </w:r>
    </w:p>
    <w:p>
      <w:pPr>
        <w:spacing w:line="259" w:lineRule="auto" w:after="60"/>
      </w:pPr>
      <w:r>
        <w:t>Dokumentation: Die Schuldnerin hält Rückmeldung, Datenumfang und Versandweg je Kunde fest. Ohne positive Rückmeldung bleiben die Daten bei der Schuldnerin oder in einer streng zweckgebundenen Aufbewahrungslösung.</w:t>
      </w:r>
    </w:p>
    <w:p>
      <w:pPr>
        <w:spacing w:line="259" w:lineRule="auto" w:after="60"/>
        <w:jc w:val="left"/>
      </w:pPr>
      <w:r>
        <w:t>E-Mail-Entwurf siehe eml/dsgvo-information-b2c-privatkunden-entwurf.eml; Inhalt und Versandzeitpunkt sind an diese Rechtsgrundlagen anzupassen.</w:t>
      </w:r>
    </w:p>
    <w:p>
      <w:pPr>
        <w:pStyle w:val="Heading3"/>
        <w:spacing w:line="259" w:lineRule="auto" w:after="60"/>
      </w:pPr>
      <w:r>
        <w:t>5.3 Vertragsklausel im APA</w:t>
      </w:r>
    </w:p>
    <w:p>
      <w:pPr>
        <w:spacing w:line="259" w:lineRule="auto" w:after="60"/>
        <w:jc w:val="left"/>
      </w:pPr>
      <w:r>
        <w:t>Das Asset-Purchase-Agreement trennt B2B-Ansprechpartnerdaten, B2C-Neuvertragsdaten und reine Aufbewahrungsdaten. Für B2C-Daten regelt es den Transfer nur nach positiver Rückmeldung oder unmittelbarer Datenerhebung durch Voracis; für Altdaten regelt es Auftragsverarbeitung, Zweckbindung, Trennung, Löschung und Rückgabe.</w:t>
      </w:r>
    </w:p>
    <w:p>
      <w:pPr>
        <w:pStyle w:val="Heading2"/>
        <w:spacing w:line="259" w:lineRule="auto" w:after="60"/>
      </w:pPr>
      <w:r>
        <w:t>6. Beschäftigtendaten beim Betriebsübergang</w:t>
      </w:r>
    </w:p>
    <w:p>
      <w:pPr>
        <w:spacing w:line="259" w:lineRule="auto" w:after="60"/>
        <w:jc w:val="left"/>
      </w:pPr>
      <w:r>
        <w:t>Nach dem DSK-Beschluss vom 11. September 2024 kann der Erwerber Beschäftigtendaten beim Betriebsübergang regelmäßig auf Artikel 6 Absatz 1 Buchstabe b DSGVO in Verbindung mit Paragraf 613a BGB stützen; für besondere Kategorien sind Artikel 9 Absatz 2 Buchstabe b DSGVO und Paragraf 26 Absatz 3 BDSG zu prüfen. Die Unterrichtung nach Paragraf 613a Absatz 5 BGB ersetzt die datenschutzrechtlichen Informationen nicht automatisch; beide Informationspakete sind inhaltlich abzugleichen.</w:t>
      </w:r>
    </w:p>
    <w:p>
      <w:pPr>
        <w:pStyle w:val="Heading2"/>
        <w:spacing w:line="259" w:lineRule="auto" w:after="60"/>
      </w:pPr>
      <w:r>
        <w:rPr>
          <w:rFonts w:ascii="Times New Roman" w:hAnsi="Times New Roman"/>
        </w:rPr>
        <w:t>7. Ergebnis und Risikoampel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Komponente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Ampel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Begründung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Übertragung B2B-Firmendaten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🟢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keine personenbezogenen Daten; Ansprechpartner-Übermittlung gerechtfertigt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Übertragung B2B-Ansprechpartner-Daten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🟢</w:t>
            </w:r>
          </w:p>
        </w:tc>
        <w:tc>
          <w:tcPr>
            <w:tcW w:type="dxa" w:w="3024"/>
          </w:tcPr>
          <w:p>
            <w:r>
              <w:t>Artikel 6 Absatz 1 Buchstabe f nach dokumentierter Abwägung; Artikel-14-Information fristgerecht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Übertragung B2C-Privatkunden-Daten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🟠</w:t>
            </w:r>
          </w:p>
        </w:tc>
        <w:tc>
          <w:tcPr>
            <w:tcW w:type="dxa" w:w="3024"/>
          </w:tcPr>
          <w:p>
            <w:r>
              <w:t>Neuvertrag nur nach positiver Kundenreaktion; unmittelbare Erhebung durch Voracis nach Artikel 6 Absatz 1 Buchstabe b oder dokumentierte Ermächtigung zur Übermittlung. Altdaten getrennt nach Artikel 28 Absatz 3 DSGVO.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AN-Daten (10 Übergänge)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🟢</w:t>
            </w:r>
          </w:p>
        </w:tc>
        <w:tc>
          <w:tcPr>
            <w:tcW w:type="dxa" w:w="3024"/>
          </w:tcPr>
          <w:p>
            <w:r>
              <w:t>Artikel 6 Absatz 1 Buchstabe b DSGVO und Paragraf 613a BGB; besondere Kategorien und Informationspflichten gesondert prüfen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Cookies / Tracking-Daten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🟢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wurden nicht im SaaS gesetzt; nicht Asset-Deal-Gegenstand</w:t>
            </w:r>
          </w:p>
        </w:tc>
      </w:tr>
    </w:tbl>
    <w:p>
      <w:pPr>
        <w:pStyle w:val="Heading2"/>
        <w:spacing w:line="259" w:lineRule="auto" w:after="60"/>
      </w:pPr>
      <w:r>
        <w:t>8. Drei vorbehaltliche Schlussempfehlungen</w:t>
      </w:r>
    </w:p>
    <w:p>
      <w:pPr>
        <w:spacing w:line="259" w:lineRule="auto" w:after="60"/>
      </w:pPr>
      <w:r>
        <w:t>1. Im APA laufende Verträge, Erfüllungsübernahmen und reine Aufbewahrungsdaten getrennt regeln; Kundenzustimmungen und Transfergrundlage je Datensatz dokumentieren.</w:t>
      </w:r>
    </w:p>
    <w:p>
      <w:pPr>
        <w:spacing w:line="259" w:lineRule="auto" w:after="60"/>
      </w:pPr>
      <w:r>
        <w:t>2. Artikel-14-Informationen für Ansprechpartner und Privatkunden fristgerecht versenden und Widersprüche nach Artikel 21 DSGVO fallbezogen bearbeiten.</w:t>
      </w:r>
    </w:p>
    <w:p>
      <w:pPr>
        <w:spacing w:line="259" w:lineRule="auto" w:after="60"/>
      </w:pPr>
      <w:r>
        <w:t>3. Erforderlichkeit einer Datenschutz-Folgenabschätzung nach Artikel 35 DSGVO anhand des konkreten Risikos prüfen, das Ergebnis dokumentieren und die neue Verarbeitung in das Verzeichnis nach Artikel 30 DSGVO aufnehmen.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1247" w:bottom="850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rFonts w:ascii="Times New Roman" w:hAnsi="Times New Roman"/>
        <w:b w:val="0"/>
        <w:color w:val="777777"/>
        <w:sz w:val="17"/>
      </w:rPr>
      <w:t>Vertraulich | Bearbeitungsstand Juli 2026 | nur zur Aktenbearbeitung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 w:val="0"/>
        <w:i w:val="0"/>
        <w:color w:val="666666"/>
        <w:sz w:val="17"/>
      </w:rPr>
      <w:t>Lindenhof und Partner mbB | Insolvenz- und Restrukturierungsakte | Bearbeitungsstand Juli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Times New Roman" w:hAnsi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7365D" w:themeColor="text2" w:themeShade="BF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