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259" w:lineRule="auto"/>
        <w:jc w:val="center"/>
      </w:pPr>
      <w:r>
        <w:rPr>
          <w:rFonts w:ascii="Times New Roman" w:hAnsi="Times New Roman"/>
          <w:b/>
          <w:i w:val="0"/>
          <w:sz w:val="28"/>
        </w:rPr>
        <w:t>Beschlussvorlage Glaeubigerausschuss</w:t>
      </w:r>
    </w:p>
    <w:p>
      <w:pPr>
        <w:spacing w:after="60" w:before="120" w:line="259" w:lineRule="auto"/>
        <w:jc w:val="center"/>
      </w:pPr>
      <w:r>
        <w:rPr>
          <w:rFonts w:ascii="Times New Roman" w:hAnsi="Times New Roman"/>
          <w:b/>
          <w:i/>
          <w:sz w:val="22"/>
        </w:rPr>
        <w:t>ChainCortex AI GmbH (i. Ins.) - AG Charlottenburg 36 IN 1342/26</w:t>
      </w:r>
    </w:p>
    <w:p>
      <w:pPr>
        <w:spacing w:after="60" w:before="120" w:line="259" w:lineRule="auto"/>
        <w:jc w:val="center"/>
      </w:pPr>
      <w:r>
        <w:rPr>
          <w:rFonts w:ascii="Times New Roman" w:hAnsi="Times New Roman"/>
          <w:b/>
          <w:i w:val="0"/>
          <w:sz w:val="22"/>
        </w:rPr>
        <w:t>Sitzung 17.06.2026, 10:00 Uhr, AG Charlottenburg, Saal 4188</w:t>
      </w:r>
    </w:p>
    <w:p>
      <w:pPr>
        <w:spacing w:after="60" w:before="120" w:line="259" w:lineRule="auto"/>
        <w:jc w:val="both"/>
      </w:pPr>
      <w:r>
        <w:rPr>
          <w:rFonts w:ascii="Times New Roman" w:hAnsi="Times New Roman"/>
          <w:b/>
          <w:i w:val="0"/>
          <w:sz w:val="22"/>
        </w:rPr>
        <w:t>I. Beschlussgegenstand</w:t>
      </w:r>
    </w:p>
    <w:p>
      <w:pPr>
        <w:spacing w:after="120" w:line="259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Veraeusserung der wesentlichen immateriellen Vermoegensgegenstaende der Schuldnerin an die Voracis Ventures GmbH (Newco) zu einem Kaufpreis von [400.000,00 EUR], Uebernahmestichtag 01.07.2026. Rechtsgrundlage: Paragraf 160 Abs. 2 Nr. 1 InsO. Paragraf 162 InsO ist nicht einschlaegig (kein besonders Interessierter; siehe DD-Bericht Aktenstueck 05).</w:t>
      </w:r>
    </w:p>
    <w:p>
      <w:pPr>
        <w:spacing w:after="60" w:before="120" w:line="259" w:lineRule="auto"/>
        <w:jc w:val="both"/>
      </w:pPr>
      <w:r>
        <w:rPr>
          <w:rFonts w:ascii="Times New Roman" w:hAnsi="Times New Roman"/>
          <w:b/>
          <w:i w:val="0"/>
          <w:sz w:val="22"/>
        </w:rPr>
        <w:t>II. Wirtschaftliche Eckdaten</w:t>
      </w:r>
    </w:p>
    <w:p>
      <w:pPr>
        <w:spacing w:after="120" w:line="259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Kaufpreis 400.000 EUR. Massekosten und Verwalterverguetung anteilig ca. 102.000 EUR. Geschaetzter Nettoerlos fuer Verteilungsmasse ca. 298.000 EUR. Vergleichsbetrachtung Stilllegungsszenario: 80-110 TEUR. Asset Deal also wirtschaftlich um ca. 180-220 TEUR ueberlegen, zusaetzlich Erhalt von 10 Arbeitsplaetzen.</w:t>
      </w:r>
    </w:p>
    <w:p>
      <w:pPr>
        <w:spacing w:after="60" w:before="120" w:line="259" w:lineRule="auto"/>
        <w:jc w:val="both"/>
      </w:pPr>
      <w:r>
        <w:rPr>
          <w:rFonts w:ascii="Times New Roman" w:hAnsi="Times New Roman"/>
          <w:b/>
          <w:i w:val="0"/>
          <w:sz w:val="22"/>
        </w:rPr>
        <w:t>III. Risiken (Kurzdarstellung)</w:t>
      </w:r>
    </w:p>
    <w:p>
      <w:pPr>
        <w:spacing w:after="120" w:line="259" w:lineRule="auto"/>
        <w:jc w:val="both"/>
      </w:pPr>
      <w:r>
        <w:t>1) Keine Anfechtungsrisiken aus einer vorinsolvenzlichen Rechtshandlung. 2) Datenschutzrisiko nur bei Umsetzung der DSK-Leitlinie vom 11.09.2024 beherrschbar: B2B-Kontaktdaten abwägen, B2C-Neuvertragsdaten nur nach positiver Kundenreaktion, Altdaten getrennt halten. 3) Arbeitnehmerwiderspruchsrecht gesondert behandeln. 4) Paragraf 25 HGB mangels Firmenfortführung nicht einschlägig; Haftungsausschluss vorsorglich anmelden.</w:t>
      </w:r>
    </w:p>
    <w:p>
      <w:pPr>
        <w:spacing w:after="80" w:line="259" w:lineRule="auto"/>
        <w:jc w:val="both"/>
      </w:pPr>
      <w:r>
        <w:rPr>
          <w:rFonts w:ascii="Times New Roman" w:hAnsi="Times New Roman"/>
          <w:b/>
          <w:i w:val="0"/>
          <w:sz w:val="24"/>
        </w:rPr>
        <w:t>IV. Beschlussvorschlag</w:t>
      </w:r>
    </w:p>
    <w:p>
      <w:pPr>
        <w:spacing w:after="120" w:line="259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Der Glaeubigerausschuss beschliesst: Der Insolvenzverwalter, RA Dr. Konrad Vorberg, wird ermaechtigt und beauftragt, die wesentlichen immateriellen Vermoegensgegenstaende der Schuldnerin sowie die in Anlage 2 des Asset-Purchase-Agreement-Entwurfs aufgefuehrten Arbeitsverhaeltnisse an die Voracis Ventures GmbH zu einem Kaufpreis von 400.000,00 EUR zu veraeussern, Uebernahmestichtag 01.07.2026. Der Verwalter wird ferner ermaechtigt, im Rahmen der weiteren Verhandlungen Kaufpreisanpassungen bis +/- 7,5 % vorzunehmen sowie redaktionelle Anpassungen am Vertragstext zu setzen, soweit sie die wirtschaftlichen Eckdaten nicht veraendern.</w:t>
      </w:r>
    </w:p>
    <w:p>
      <w:pPr>
        <w:spacing w:after="280" w:line="259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120" w:line="259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Berlin, 12.06.2026</w:t>
      </w:r>
    </w:p>
    <w:p>
      <w:pPr>
        <w:spacing w:after="80" w:line="259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120" w:line="259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Dr. Konrad Vorberg, Insolvenzverwalter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Lindenhof und Partner mbB | Insolvenz- und Restrukturierungsakte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  <w:rFonts w:ascii="Times New Roman" w:hAnsi="Times New Roman" w:cs="Times New Roman" w:eastAsia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