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Dr. Peter Immel | Rechtsanwalt | Muenchen</w:t>
      </w:r>
    </w:p>
    <w:p>
      <w:pPr>
        <w:pStyle w:val="Heading1"/>
      </w:pPr>
      <w:r>
        <w:t>Duplik</w:t>
      </w:r>
    </w:p>
    <w:p>
      <w:r>
        <w:t>Landgericht Regensburg, Az. 2 O 987/26</w:t>
      </w:r>
    </w:p>
    <w:p>
      <w:pPr>
        <w:pStyle w:val="Heading2"/>
      </w:pPr>
      <w:r>
        <w:t>Erwiderung auf die Replik</w:t>
      </w:r>
    </w:p>
    <w:p>
      <w:r>
        <w:t>Die Beklagte haelt an ihrer Rechtsauffassung fest und beantragt vorsorglich, ueber die Umstaende der Sicherheitenbestellung sowie ueber die betriebswirtschaftliche Notwendigkeit der Nachbesicherung Beweis durch Einholung eines Sachverstaendigengutachtens zu erheben.</w:t>
      </w:r>
    </w:p>
    <w:p/>
    <w:p>
      <w:r>
        <w:t>Dr. Peter Immel, 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