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Vorberg + Steinhausen Rechtsanwaelte mbB - Insolvenzverwaltung ChainCortex AI GmbH, AG Charlottenburg 36 IN 1342/26</w:t>
      </w:r>
    </w:p>
    <w:p>
      <w:pPr>
        <w:pStyle w:val="Heading1"/>
      </w:pPr>
      <w:r>
        <w:t>Stellungnahme des Insolvenzverwalters zum Gewaehrleistungsanspruch</w:t>
      </w:r>
    </w:p>
    <w:p>
      <w:r>
        <w:t>Stellungnahme vom 05.09.2026 von RA Dr. Konrad Vorberg zum Schreiben der Kaeuferin vom 24.08.2026.</w:t>
      </w:r>
    </w:p>
    <w:p>
      <w:r>
        <w:t>Der Insolvenzverwalter weist darauf hin, dass im Asset-Purchase-Agreement eine Gewaehrleistung fuer Rechtsmaengel an der Software ausdruecklich nur bis zur Hoehe des zurueckbehaltenen Kaufpreisanteils (Retention, EUR 40.000,00) uebernommen wurde (§ 9 APA). Eine darueberhinausgehende Haftung der insolventen Masse kommt nicht in Betracht. Es wird vorgeschlagen, den Retention-Betrag zur Abgeltung des Anspruchs einzubehalten, sofern der Mangel durch ein neutrales Gutachten bestaetigt wird.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