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Sachverstaendigenbuero Dr. Feldkamp, IT-Recht und Softwareforensik</w:t>
      </w:r>
    </w:p>
    <w:p>
      <w:pPr>
        <w:pStyle w:val="Heading1"/>
      </w:pPr>
      <w:r>
        <w:t>Kurzgutachten zum behaupteten GPL-Lizenzkonflikt</w:t>
      </w:r>
    </w:p>
    <w:p>
      <w:r>
        <w:t>Gutachten vom 20.09.2026, erstellt von Dr.-Ing. Malte Feldkamp auf gemeinsamen Auftrag beider Parteien.</w:t>
      </w:r>
    </w:p>
    <w:p>
      <w:pPr>
        <w:pStyle w:val="Heading2"/>
      </w:pPr>
      <w:r>
        <w:t>Ergebnis</w:t>
      </w:r>
    </w:p>
    <w:p>
      <w:r>
        <w:t>Der geruegte Lizenzkonflikt betrifft eine einzelne, nicht produktionskritische Hilfsbibliothek, die mit vertretbarem Aufwand (geschaetzt 2 Personentage) durch eine lizenzkonforme Alternative ersetzt werden kann. Der wirtschaftliche Schaden wird auf EUR 6.500,00 geschaetzt, deutlich unter dem urspruenglich geltend gemachten Betrag von EUR 45.000,00.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