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Einigung ueber die Freigabe des Retention-Betrags (reduziert)</w:t>
      </w:r>
    </w:p>
    <w:p>
      <w:r>
        <w:t>Einigung vom 01.10.2026 zwischen Insolvenzverwalter und Voracis Ventures GmbH: Von dem einbehaltenen Retention-Betrag in Hoehe von EUR 40.000,00 werden EUR 6.500,00 zur Abgeltung des Gewaehrleistungs- anspruchs an die Kaeuferin ausgekehrt; die restlichen EUR 33.500,00 werden zeitgleich an die Insolvenzmasse freigegeben (siehe Kaufpreiszahlungen Nr. 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