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Vorberg + Steinhausen Rechtsanwaelte mbB - Insolvenzverwaltung ChainCortex AI GmbH, AG Charlottenburg 36 IN 1342/26</w:t>
      </w:r>
    </w:p>
    <w:p>
      <w:pPr>
        <w:pStyle w:val="Heading1"/>
      </w:pPr>
      <w:r>
        <w:t>Schlussbericht des Insolvenzverwalters</w:t>
      </w:r>
    </w:p>
    <w:p>
      <w:r>
        <w:t>Schlussbericht vom 15.10.2026 zur Vorlage beim AG Charlottenburg.</w:t>
      </w:r>
    </w:p>
    <w:p>
      <w:r>
        <w:t>Der Insolvenzverwalter berichtet ueber den erfolgreichen Vollzug des Asset Deals mit der Voracis Ventures GmbH, die Erledigung der Post-Closing-Anzeigen, die Beilegung des Gewaehrleistungsstreits sowie die abschliessende Verteilung des Massevermoegens an die Glaeubiger. Die Quote fuer ungesicherte Insolvenzglaeubiger betraegt rechnerisch rund 22 Prozent.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