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8"/>
        </w:rPr>
        <w:t>Quirrenbach &amp; Partner mbB | Rechtsanwaelte | Duesseldorf</w:t>
      </w:r>
    </w:p>
    <w:p>
      <w:pPr>
        <w:pStyle w:val="Heading1"/>
      </w:pPr>
      <w:r>
        <w:t>Beschluss ueber die Eroeffnung des Insolvenzverfahrens</w:t>
      </w:r>
    </w:p>
    <w:p>
      <w:r>
        <w:t>Amtsgericht Duesseldorf, Az. 512 IN 88/26</w:t>
      </w:r>
    </w:p>
    <w:p>
      <w:r>
        <w:t>Beschluss vom 03.08.2026</w:t>
      </w:r>
    </w:p>
    <w:p>
      <w:pPr>
        <w:pStyle w:val="Heading2"/>
      </w:pPr>
      <w:r>
        <w:t>Tenor</w:t>
      </w:r>
    </w:p>
    <w:p>
      <w:r>
        <w:t>1. Ueber das Vermoegen der Silberweiher Beteiligungs GmbH, Grafenberger Allee 214, 40237 Duesseldorf, wird heute um 09:15 Uhr das Insolvenzverfahren eroeffnet.</w:t>
      </w:r>
    </w:p>
    <w:p>
      <w:r>
        <w:t>2. Zum Insolvenzverwalter wird bestellt: Rechtsanwalt Dr. Markus Ovelgoenne, Duesseldorf.</w:t>
      </w:r>
    </w:p>
    <w:p>
      <w:r>
        <w:t>3. Die Glaeubiger der Schuldnerin werden aufgefordert, ihre Forderungen bis zum 15.09.2026 beim Insolvenzverwalter schriftlich anzumelden.</w:t>
      </w:r>
    </w:p>
    <w:p>
      <w:r>
        <w:t>4. Termin zur Pruefung der angemeldeten Forderungen sowie zum Berichtstermin wird bestimmt auf den 20.10.2026, 10:00 Uhr, Saal 233.</w:t>
      </w:r>
    </w:p>
    <w:p>
      <w:pPr>
        <w:pStyle w:val="Heading2"/>
      </w:pPr>
      <w:r>
        <w:t>Gruende</w:t>
      </w:r>
    </w:p>
    <w:p>
      <w:r>
        <w:t>Die Schuldnerin ist zahlungsunfaehig im Sinne des Paragraf 17 InsO. Dies ergibt sich aus dem eigenen Vorbringen sowie aus dem Gutachten des Sachverstaendigen vom 15.07.2026.</w:t>
      </w:r>
    </w:p>
    <w:p/>
    <w:p>
      <w:r>
        <w:t>Der Richter am Amtsgericht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