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bav-strategie-konzern-meissner-rheinwerk-ag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