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geschaeftsfuehrerhaftung-15b-inso-zahlungen-nach-insolvenzreife-hannover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