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Insolvenz und Sanierung</w:t>
      </w:r>
    </w:p>
    <w:p>
      <w:pPr>
        <w:pStyle w:val="Heading2"/>
      </w:pPr>
      <w:r>
        <w:t>1. Krisenstatus</w:t>
      </w:r>
    </w:p>
    <w:p>
      <w:pPr>
        <w:jc w:val="both"/>
      </w:pPr>
      <w:r>
        <w:t>Der Ordner insolvenzanfechtung-kongruente-deckung-lieferant-mahnlauf-bielefeld wird als wirtschaftliche Krisenakte mit Liquidität, Fälligkeiten, Gläubigerdruck und Haftungsrisiko behandelt. Jede Entscheidung braucht eine trennscharfe Linie zwischen objektiver Rechtslage, Geschäftsleiterkenntnis und Dokumentation.</w:t>
      </w:r>
    </w:p>
    <w:p>
      <w:pPr>
        <w:pStyle w:val="Heading2"/>
      </w:pPr>
      <w:r>
        <w:t>2. Streitige Forderungen und Rangrücktritt</w:t>
      </w:r>
    </w:p>
    <w:p>
      <w:pPr>
        <w:jc w:val="both"/>
      </w:pPr>
      <w:r>
        <w:t>Streitige Verbindlichkeiten werden nicht nach Prozessrisiko gequotelt. Sie sind nach objektiver Rechtslage ein- oder auszustellen; wer sie aus der Liquiditätsbilanz herausnimmt, braucht eine tragfähige Dokumentation und Beweisvorsorge. Rangrücktritte dürfen Zahlungen nur aus freien, nicht zur Schuldendeckung benötigten Überschüssen zulassen.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Stichtag, Liquiditätsstatus, fällige Verbindlichkeiten, freie Linien, harte Zahlungszusagen und Rangthemen erfassen. Danach Antragspflichten, Eigenverwaltungsfähigkeit, Anfechtung und Zahlungsverbote prüfen.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