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Krisensitzungsvermerk Geschäftsführung</w:t>
      </w:r>
    </w:p>
    <w:p>
      <w:pPr>
        <w:jc w:val="both"/>
      </w:pPr>
      <w:r>
        <w:t>Die Geschäftsführung diskutiert Eigenverwaltung, Schutzschirm und außergerichtlichen Stillhaltevergleich. Der Liquiditätsstatus zeigt in Kalenderwoche 30 eine Deckungslücke von 1,18 Mio EUR, wenn die Bonusforderung des Kunden eingestellt wird.</w:t>
      </w:r>
    </w:p>
    <w:p>
      <w:pPr>
        <w:jc w:val="both"/>
      </w:pPr>
      <w:r>
        <w:t>Der CFO hält die Forderung für unbegründet, kann aber bisher nur auf eine E-Mail-Verhandlung verweisen.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