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Erläuterung Liquiditätsstatus</w:t>
      </w:r>
    </w:p>
    <w:p>
      <w:pPr>
        <w:jc w:val="both"/>
      </w:pPr>
      <w:r>
        <w:t>Die Planung trennt fällige Verbindlichkeiten, streitige Forderungen, Zahlungszusagen und freie Linie. Streitige Verbindlichkeiten werden nicht prozentual gewichtet, sondern nach objektiver Rechtslage mit Begründung ein- oder ausgestellt.</w:t>
      </w:r>
    </w:p>
    <w:p>
      <w:pPr>
        <w:jc w:val="both"/>
      </w:pPr>
      <w:r>
        <w:t>Titel und ernsthaft durchsetzbare Fälligkeit werden gesondert markiert.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