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/>
          <w:i/>
          <w:sz w:val="18"/>
        </w:rPr>
        <w:t>Kanzlei Lindenhof und Partner mbB | Aktenzeichen intern 2026-</w:t>
      </w:r>
    </w:p>
    <w:p>
      <w:pPr>
        <w:pStyle w:val="Heading1"/>
      </w:pPr>
      <w:r>
        <w:t>Lieferantenschreiben</w:t>
      </w:r>
    </w:p>
    <w:p>
      <w:pPr>
        <w:jc w:val="both"/>
      </w:pPr>
      <w:r>
        <w:t>NanoSens Components GmbH stellt Lieferung auf Vorkasse um. Ohne Sensorcharge S-77 kann die Juli-Produktion nur fünf Arbeitstage laufen.</w:t>
      </w:r>
    </w:p>
    <w:p>
      <w:pPr>
        <w:jc w:val="both"/>
      </w:pPr>
      <w:r>
        <w:t>Das Schreiben kündigt keine Kündigung an, erhöht aber die praktische Planungsunsicherheit.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