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  <w:i/>
          <w:sz w:val="18"/>
        </w:rPr>
        <w:t>Kanzlei Lindenhof und Partner mbB | Aktenzeichen intern 2026-</w:t>
      </w:r>
    </w:p>
    <w:p>
      <w:pPr>
        <w:pStyle w:val="Heading1"/>
      </w:pPr>
      <w:r>
        <w:t>Forderungsanmeldung Vermieter</w:t>
      </w:r>
    </w:p>
    <w:p>
      <w:pPr>
        <w:jc w:val="both"/>
      </w:pPr>
      <w:r>
        <w:t>Der Vermieter meldet Rückstände aus April bis Juni, Nutzungsentschädigung nach Verfahrenseröffnung und Schadenspositionen aus Rückbau an. Er beansprucht zusätzlich Zugriff auf die Mietkaution.</w:t>
      </w:r>
    </w:p>
    <w:p>
      <w:pPr>
        <w:jc w:val="both"/>
      </w:pPr>
      <w:r>
        <w:t>Die Anmeldung vermischt Insolvenzforderung und mögliche Masseforderung.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