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Mietvertrag Kautionsklausel</w:t>
      </w:r>
    </w:p>
    <w:p>
      <w:pPr>
        <w:jc w:val="both"/>
      </w:pPr>
      <w:r>
        <w:t>Die Kaution beträgt 180.000 EUR und sollte auf einem separaten Konto angelegt werden. Die Klausel erlaubt Verrechnung mit fälligen Ansprüchen, spricht aber nicht sauber zwischen laufendem Mietverhältnis und Insolvenzverfahren.</w:t>
      </w:r>
    </w:p>
    <w:p>
      <w:pPr>
        <w:jc w:val="both"/>
      </w:pPr>
      <w:r>
        <w:t>Die Rückbaupflichten sind in einer Anlage geregelt, die bisher nur als Scan vorliegt.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