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  <w:i/>
          <w:sz w:val="18"/>
        </w:rPr>
        <w:t>Kanzlei Lindenhof und Partner mbB | Aktenzeichen intern 2026-</w:t>
      </w:r>
    </w:p>
    <w:p>
      <w:pPr>
        <w:pStyle w:val="Heading1"/>
      </w:pPr>
      <w:r>
        <w:t>Bankverrechnung Kontokorrent</w:t>
      </w:r>
    </w:p>
    <w:p>
      <w:pPr>
        <w:jc w:val="both"/>
      </w:pPr>
      <w:r>
        <w:t>Die Bank verrechnet Gutschriften aus Unterkundenverträgen mit Sollsaldo. Der Verwalter prüft, ob die Verrechnung insolvenzrechtlich angreifbar oder durch Sicherheiten gedeckt ist.</w:t>
      </w:r>
    </w:p>
    <w:p>
      <w:pPr>
        <w:jc w:val="both"/>
      </w:pPr>
      <w:r>
        <w:t>Der Kontoauszug zeigt Sammelbuchungen ohne Kundenreferenz.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