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i/>
          <w:sz w:val="18"/>
        </w:rPr>
        <w:t>Kanzlei Lindenhof und Partner mbB | Aktenzeichen intern 2026-</w:t>
      </w:r>
    </w:p>
    <w:p>
      <w:pPr>
        <w:pStyle w:val="Heading1"/>
      </w:pPr>
      <w:r>
        <w:t>Ergänzender Sachverhaltsvermerk Insolvenz und Sanierung</w:t>
      </w:r>
    </w:p>
    <w:p>
      <w:pPr>
        <w:pStyle w:val="Heading2"/>
      </w:pPr>
      <w:r>
        <w:t>1. Krisenstatus</w:t>
      </w:r>
    </w:p>
    <w:p>
      <w:pPr>
        <w:jc w:val="both"/>
      </w:pPr>
      <w:r>
        <w:t>Der Ordner insolvenzverwaltung-nordlicht-handels-kiel wird als wirtschaftliche Krisenakte mit Liquidität, Fälligkeiten, Gläubigerdruck und Haftungsrisiko behandelt. Jede Entscheidung braucht eine trennscharfe Linie zwischen objektiver Rechtslage, Geschäftsleiterkenntnis und Dokumentation.</w:t>
      </w:r>
    </w:p>
    <w:p>
      <w:pPr>
        <w:pStyle w:val="Heading2"/>
      </w:pPr>
      <w:r>
        <w:t>2. Streitige Forderungen und Rangrücktritt</w:t>
      </w:r>
    </w:p>
    <w:p>
      <w:pPr>
        <w:jc w:val="both"/>
      </w:pPr>
      <w:r>
        <w:t>Streitige Verbindlichkeiten werden nicht nach Prozessrisiko gequotelt. Sie sind nach objektiver Rechtslage ein- oder auszustellen; wer sie aus der Liquiditätsbilanz herausnimmt, braucht eine tragfähige Dokumentation und Beweisvorsorge. Rangrücktritte dürfen Zahlungen nur aus freien, nicht zur Schuldendeckung benötigten Überschüssen zulassen.</w:t>
      </w:r>
    </w:p>
    <w:p>
      <w:pPr>
        <w:pStyle w:val="Heading2"/>
      </w:pPr>
      <w:r>
        <w:t>3. Arbeitsauftrag</w:t>
      </w:r>
    </w:p>
    <w:p>
      <w:pPr>
        <w:jc w:val="both"/>
      </w:pPr>
      <w:r>
        <w:t>Zuerst Stichtag, Liquiditätsstatus, fällige Verbindlichkeiten, freie Linien, harte Zahlungszusagen und Rangthemen erfassen. Danach Antragspflichten, Eigenverwaltungsfähigkeit, Anfechtung und Zahlungsverbote prüfen.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