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krankenkassenrecht-off-label-use-seltene-erkrankung-mainz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