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krisenfrueherkennung-starug-vier-varianten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