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leasingrecht-maschinenfleet-restwert-insolvenz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