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EUIPO-Veröffentlichung</w:t>
      </w:r>
    </w:p>
    <w:p>
      <w:pPr>
        <w:jc w:val="both"/>
      </w:pPr>
      <w:r>
        <w:t>Die Anmeldung CAPSULA42 wurde am 15.06.2026 veröffentlicht. Waren und Dienstleistungen umfassen Klasse 25 Sneaker, Sportschuhe, Streetwear sowie Klasse 35 Onlinehandel mit Bekleidung.</w:t>
      </w:r>
    </w:p>
    <w:p>
      <w:pPr>
        <w:jc w:val="both"/>
      </w:pPr>
      <w:r>
        <w:t>Die Widerspruchsfrist endet rechnerisch am 15.09.2026, vorbehaltlich genauer EUIPO-Fristenprüfung.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