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Benutzungsbelege Kampagnen</w:t>
      </w:r>
    </w:p>
    <w:p>
      <w:pPr>
        <w:jc w:val="both"/>
      </w:pPr>
      <w:r>
        <w:t>Die Belege umfassen Rechnungen, Lookbook, Instagram-Kampagnen, Messestand Paris 2023, Retail-Orders und Presseartikel. Jeder Beleg ist Klasse 25 zuzuordnen.</w:t>
      </w:r>
    </w:p>
    <w:p>
      <w:pPr>
        <w:jc w:val="both"/>
      </w:pPr>
      <w:r>
        <w:t>Kritisch ist die territoriale Streuung; die Umsätze konzentrieren sich auf DACH.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