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Vergleichsvorschlag Cooling-off</w:t>
      </w:r>
    </w:p>
    <w:p>
      <w:pPr>
        <w:jc w:val="both"/>
      </w:pPr>
      <w:r>
        <w:t>Der Vorschlag erlaubt CAPSULA42 für Taschen und Accessoires, untersagt aber Sneaker, Sportschuhe und Onlinehandel mit Schuhen in der EU.</w:t>
      </w:r>
    </w:p>
    <w:p>
      <w:pPr>
        <w:jc w:val="both"/>
      </w:pPr>
      <w:r>
        <w:t>Die Gegenseite verlangt Aufbrauchfrist und wechselseitige Nichtangriffszusage.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