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Fristsachen EUIPO</w:t>
      </w:r>
    </w:p>
    <w:p>
      <w:pPr>
        <w:jc w:val="both"/>
      </w:pPr>
      <w:r>
        <w:t>Der Kalender enthält Widerspruchsfrist, Cooling-off-Antrag, Begründungsfrist, Erwiderungsfenster und interne Belegfristen.</w:t>
      </w:r>
    </w:p>
    <w:p>
      <w:pPr>
        <w:jc w:val="both"/>
      </w:pPr>
      <w:r>
        <w:t>Die Fristen müssen vor Einreichung in eSearch plus und EUIPO-Account gegengeprüft werden.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