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rentenberater-status-bav-rentenanspruch-querschnitt-dortmund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